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017D1" w14:textId="77777777" w:rsidR="00B07184" w:rsidRPr="00143CA2" w:rsidRDefault="00B07184" w:rsidP="00B07184">
      <w:pPr>
        <w:pStyle w:val="Heading"/>
        <w:jc w:val="center"/>
        <w:rPr>
          <w:sz w:val="32"/>
          <w:szCs w:val="32"/>
        </w:rPr>
      </w:pPr>
      <w:r w:rsidRPr="00143CA2">
        <w:rPr>
          <w:sz w:val="32"/>
          <w:szCs w:val="32"/>
        </w:rPr>
        <w:t>COMUNICADO AO MERCADO</w:t>
      </w:r>
    </w:p>
    <w:p w14:paraId="13EA5FCA" w14:textId="071E1125" w:rsidR="00C943F2" w:rsidRPr="00B615C0" w:rsidRDefault="00C943F2" w:rsidP="00C943F2">
      <w:pPr>
        <w:pStyle w:val="Heading"/>
        <w:jc w:val="center"/>
        <w:rPr>
          <w:sz w:val="20"/>
        </w:rPr>
      </w:pPr>
      <w:r w:rsidRPr="00B615C0">
        <w:rPr>
          <w:sz w:val="20"/>
        </w:rPr>
        <w:t xml:space="preserve">OFERTA DE DISTRIBUIÇÃO </w:t>
      </w:r>
      <w:r w:rsidR="00C0054B">
        <w:rPr>
          <w:sz w:val="20"/>
        </w:rPr>
        <w:t>PÚBLICA</w:t>
      </w:r>
      <w:r w:rsidR="00C0054B" w:rsidRPr="00B615C0">
        <w:rPr>
          <w:sz w:val="20"/>
        </w:rPr>
        <w:t xml:space="preserve"> </w:t>
      </w:r>
      <w:r w:rsidRPr="00B615C0">
        <w:rPr>
          <w:sz w:val="20"/>
        </w:rPr>
        <w:t>DE COTAS D</w:t>
      </w:r>
      <w:r w:rsidR="00B40B6D">
        <w:rPr>
          <w:sz w:val="20"/>
        </w:rPr>
        <w:t>E</w:t>
      </w:r>
      <w:r w:rsidRPr="00B615C0">
        <w:rPr>
          <w:sz w:val="20"/>
        </w:rPr>
        <w:t xml:space="preserve"> EMISSÃO D</w:t>
      </w:r>
      <w:r w:rsidR="009223D9" w:rsidRPr="00B615C0">
        <w:rPr>
          <w:sz w:val="20"/>
        </w:rPr>
        <w:t>O</w:t>
      </w:r>
    </w:p>
    <w:p w14:paraId="272E1CD4" w14:textId="795D4559" w:rsidR="00120D9A" w:rsidRPr="00B615C0" w:rsidRDefault="009E4211" w:rsidP="00E07412">
      <w:pPr>
        <w:pStyle w:val="Body"/>
        <w:jc w:val="center"/>
        <w:rPr>
          <w:color w:val="262827" w:themeColor="background1"/>
          <w:sz w:val="16"/>
          <w:szCs w:val="16"/>
        </w:rPr>
      </w:pPr>
      <w:r w:rsidRPr="009E4211">
        <w:rPr>
          <w:b/>
          <w:bCs/>
          <w:smallCaps/>
        </w:rPr>
        <w:t>FUNDO DE INVESTIMENTO EM DIREITOS CREDITÓRIOS AGRO CITI</w:t>
      </w:r>
      <w:r w:rsidR="006B28A7">
        <w:rPr>
          <w:b/>
          <w:bCs/>
          <w:smallCaps/>
        </w:rPr>
        <w:t>-SYNGENTA</w:t>
      </w:r>
      <w:r w:rsidR="00120D9A" w:rsidRPr="00B615C0">
        <w:rPr>
          <w:b/>
          <w:bCs/>
          <w:smallCaps/>
        </w:rPr>
        <w:br/>
      </w:r>
    </w:p>
    <w:p w14:paraId="61A208A5" w14:textId="632C5C62" w:rsidR="00C55D98" w:rsidRPr="00B615C0" w:rsidRDefault="00120D9A" w:rsidP="00FC5C44">
      <w:pPr>
        <w:pStyle w:val="Body"/>
        <w:spacing w:after="0"/>
        <w:jc w:val="center"/>
        <w:rPr>
          <w:sz w:val="12"/>
          <w:szCs w:val="12"/>
        </w:rPr>
      </w:pPr>
      <w:bookmarkStart w:id="0" w:name="_Hlk122615189"/>
      <w:r w:rsidRPr="00B615C0">
        <w:rPr>
          <w:color w:val="262827" w:themeColor="background1"/>
        </w:rPr>
        <w:t>CÓDIGO ISIN</w:t>
      </w:r>
      <w:r w:rsidR="003870B8" w:rsidRPr="00B615C0">
        <w:rPr>
          <w:color w:val="262827" w:themeColor="background1"/>
        </w:rPr>
        <w:t xml:space="preserve"> </w:t>
      </w:r>
      <w:r w:rsidR="009223D9" w:rsidRPr="009223D9">
        <w:t xml:space="preserve">DAS COTAS SENIORES DA </w:t>
      </w:r>
      <w:r w:rsidR="00093367">
        <w:t>1</w:t>
      </w:r>
      <w:r w:rsidR="00093367" w:rsidRPr="009223D9">
        <w:t xml:space="preserve">ª </w:t>
      </w:r>
      <w:r w:rsidR="00B40B6D">
        <w:t>(</w:t>
      </w:r>
      <w:r w:rsidR="00093367">
        <w:t>PRIMEIRA</w:t>
      </w:r>
      <w:r w:rsidR="00B40B6D">
        <w:t xml:space="preserve">) </w:t>
      </w:r>
      <w:r w:rsidR="00B06AB6">
        <w:t xml:space="preserve">EMISSÃO DA 2ª (SÉRIE) DE COTAS SENIORES </w:t>
      </w:r>
      <w:r w:rsidR="005855EE">
        <w:t>EMISSÃO</w:t>
      </w:r>
      <w:r w:rsidR="009223D9" w:rsidRPr="009223D9">
        <w:rPr>
          <w:color w:val="262827" w:themeColor="background1"/>
        </w:rPr>
        <w:t xml:space="preserve">: </w:t>
      </w:r>
      <w:r w:rsidR="001C7D7A" w:rsidRPr="001C7D7A">
        <w:t>BR0ECSCTF039</w:t>
      </w:r>
      <w:r w:rsidR="009223D9" w:rsidRPr="009223D9">
        <w:rPr>
          <w:color w:val="262827" w:themeColor="background1"/>
        </w:rPr>
        <w:br/>
      </w:r>
      <w:bookmarkEnd w:id="0"/>
    </w:p>
    <w:p w14:paraId="67B0948E" w14:textId="0DCB5F2F" w:rsidR="00120D9A" w:rsidRPr="00B615C0" w:rsidRDefault="009223D9" w:rsidP="008F19F8">
      <w:pPr>
        <w:pStyle w:val="Body"/>
        <w:rPr>
          <w:b/>
          <w:bCs/>
        </w:rPr>
      </w:pPr>
      <w:r w:rsidRPr="00B615C0">
        <w:rPr>
          <w:b/>
          <w:bCs/>
        </w:rPr>
        <w:t xml:space="preserve">O REGISTRO </w:t>
      </w:r>
      <w:r w:rsidRPr="00551FAD">
        <w:rPr>
          <w:b/>
          <w:bCs/>
        </w:rPr>
        <w:t xml:space="preserve">DA OFERTA DAS COTAS FOI CONCEDIDO AUTOMATICAMENTE PELA CVM EM </w:t>
      </w:r>
      <w:r w:rsidR="00D65C88">
        <w:rPr>
          <w:b/>
          <w:bCs/>
        </w:rPr>
        <w:t>0</w:t>
      </w:r>
      <w:r w:rsidR="001C7D7A">
        <w:rPr>
          <w:b/>
          <w:bCs/>
        </w:rPr>
        <w:t>4</w:t>
      </w:r>
      <w:r w:rsidR="00D65C88">
        <w:rPr>
          <w:b/>
          <w:bCs/>
        </w:rPr>
        <w:t xml:space="preserve"> DE DEZEMBRO</w:t>
      </w:r>
      <w:r w:rsidR="00551FAD" w:rsidRPr="00551FAD">
        <w:rPr>
          <w:b/>
          <w:bCs/>
        </w:rPr>
        <w:t xml:space="preserve"> </w:t>
      </w:r>
      <w:r w:rsidRPr="00551FAD">
        <w:rPr>
          <w:b/>
          <w:bCs/>
        </w:rPr>
        <w:t>D</w:t>
      </w:r>
      <w:r w:rsidRPr="00AF123F">
        <w:rPr>
          <w:b/>
          <w:bCs/>
          <w:color w:val="262827" w:themeColor="background1"/>
        </w:rPr>
        <w:t xml:space="preserve">E 2023, SOB O N° </w:t>
      </w:r>
      <w:r w:rsidR="0033041C">
        <w:rPr>
          <w:b/>
          <w:bCs/>
          <w:color w:val="262827" w:themeColor="background1"/>
          <w:bdr w:val="none" w:sz="0" w:space="0" w:color="auto" w:frame="1"/>
        </w:rPr>
        <w:t>CVM/SER/AUT/FDC/PRI/2023/794</w:t>
      </w:r>
    </w:p>
    <w:p w14:paraId="021BEBA3" w14:textId="1FC6516E" w:rsidR="004F6084" w:rsidRDefault="009223D9" w:rsidP="00046A20">
      <w:pPr>
        <w:pStyle w:val="Body"/>
      </w:pPr>
      <w:r w:rsidRPr="00B06AB6">
        <w:t xml:space="preserve">O </w:t>
      </w:r>
      <w:r w:rsidR="00C55D98" w:rsidRPr="00B06AB6">
        <w:rPr>
          <w:rStyle w:val="bold"/>
          <w:rFonts w:ascii="Arial" w:hAnsi="Arial" w:cs="Arial"/>
          <w:b/>
          <w:bCs/>
          <w:sz w:val="20"/>
        </w:rPr>
        <w:t>FUNDO DE INVESTIMENTO EM DIREITOS CREDITÓRIOS AGRO CITI-</w:t>
      </w:r>
      <w:r w:rsidR="006B28A7" w:rsidRPr="00B06AB6">
        <w:rPr>
          <w:rStyle w:val="bold"/>
          <w:rFonts w:ascii="Arial" w:hAnsi="Arial" w:cs="Arial"/>
          <w:b/>
          <w:bCs/>
          <w:sz w:val="20"/>
        </w:rPr>
        <w:t>SYNGENTA</w:t>
      </w:r>
      <w:r w:rsidRPr="00B06AB6">
        <w:t xml:space="preserve">, </w:t>
      </w:r>
      <w:r w:rsidRPr="00B06AB6">
        <w:rPr>
          <w:bCs/>
        </w:rPr>
        <w:t>inscrito no Cadastro Nacional da Pessoa Jurídica do Ministério da Fazenda (“</w:t>
      </w:r>
      <w:r w:rsidRPr="00B06AB6">
        <w:rPr>
          <w:b/>
        </w:rPr>
        <w:t>CNPJ/MF</w:t>
      </w:r>
      <w:r w:rsidRPr="00B06AB6">
        <w:rPr>
          <w:bCs/>
        </w:rPr>
        <w:t xml:space="preserve">”) sob o nº </w:t>
      </w:r>
      <w:r w:rsidR="006B28A7" w:rsidRPr="00B06AB6">
        <w:rPr>
          <w:bCs/>
        </w:rPr>
        <w:t>46.073.195/0001-09</w:t>
      </w:r>
      <w:r w:rsidRPr="00B06AB6">
        <w:rPr>
          <w:bCs/>
        </w:rPr>
        <w:t xml:space="preserve">, </w:t>
      </w:r>
      <w:r w:rsidRPr="00B06AB6">
        <w:t>constituído sob a forma de condomínio fechado (“</w:t>
      </w:r>
      <w:r w:rsidRPr="00B06AB6">
        <w:rPr>
          <w:b/>
          <w:bCs/>
        </w:rPr>
        <w:t>Fundo</w:t>
      </w:r>
      <w:r w:rsidRPr="00B06AB6">
        <w:t>”), representado pelo seu administrador,</w:t>
      </w:r>
      <w:r w:rsidR="00913786" w:rsidRPr="00B06AB6">
        <w:t xml:space="preserve"> </w:t>
      </w:r>
      <w:bookmarkStart w:id="1" w:name="_Hlk118046462"/>
      <w:r w:rsidR="006B28A7" w:rsidRPr="00B06AB6">
        <w:rPr>
          <w:b/>
        </w:rPr>
        <w:t>BRL TRUST DISTRIBUIDORA DE TÍTULOS E VALORES MOBILIÁRIOS S.A.</w:t>
      </w:r>
      <w:bookmarkEnd w:id="1"/>
      <w:r w:rsidRPr="00867FCE">
        <w:t>,</w:t>
      </w:r>
      <w:r w:rsidR="00867FCE" w:rsidRPr="00867FCE">
        <w:t xml:space="preserve"> sociedade autorizada pela CVM para o exercício profissional de administração de carteiras de valores mobiliários, por meio do Ato Declaratório nº 11.784, de 30 de junho de 2011, inscrita no CNPJ/MF sob o nº 13.486.793/0001-42, com sede na Cidade de São Paulo, Estado de São Paulo, na Rua Alves Guimarães, nº 1212, CEP: 05410-002 (“</w:t>
      </w:r>
      <w:r w:rsidR="00867FCE" w:rsidRPr="00867FCE">
        <w:rPr>
          <w:b/>
          <w:bCs/>
        </w:rPr>
        <w:t>Administrador</w:t>
      </w:r>
      <w:r w:rsidR="00867FCE" w:rsidRPr="00867FCE">
        <w:t>”)</w:t>
      </w:r>
      <w:r w:rsidRPr="00B06AB6">
        <w:t xml:space="preserve"> em conjunto com </w:t>
      </w:r>
      <w:bookmarkStart w:id="2" w:name="_Hlk148637139"/>
      <w:r w:rsidR="000F79CF">
        <w:t>a</w:t>
      </w:r>
      <w:r w:rsidR="000F79CF" w:rsidRPr="003A2DD6">
        <w:t xml:space="preserve"> </w:t>
      </w:r>
      <w:r w:rsidR="006E3BE0" w:rsidRPr="00253A00">
        <w:rPr>
          <w:b/>
          <w:color w:val="000000"/>
        </w:rPr>
        <w:t>INTEGRAL</w:t>
      </w:r>
      <w:r w:rsidR="006E3BE0">
        <w:rPr>
          <w:b/>
          <w:color w:val="000000"/>
        </w:rPr>
        <w:t xml:space="preserve"> ACCESS DTVM </w:t>
      </w:r>
      <w:r w:rsidR="006E3BE0" w:rsidRPr="00253A00">
        <w:rPr>
          <w:b/>
          <w:smallCaps/>
        </w:rPr>
        <w:t>LTDA.</w:t>
      </w:r>
      <w:r w:rsidR="006E3BE0" w:rsidRPr="00253A00">
        <w:rPr>
          <w:bCs/>
        </w:rPr>
        <w:t xml:space="preserve">, </w:t>
      </w:r>
      <w:r w:rsidR="006E3BE0" w:rsidRPr="00253A00">
        <w:t>com</w:t>
      </w:r>
      <w:r w:rsidR="006E3BE0" w:rsidRPr="00253A00">
        <w:rPr>
          <w:bCs/>
        </w:rPr>
        <w:t xml:space="preserve"> sede na Cidade de São Paulo, Estado de São Paulo, na Avenida Brigadeiro Faria Lima, nº 1.</w:t>
      </w:r>
      <w:r w:rsidR="006E3BE0">
        <w:rPr>
          <w:bCs/>
        </w:rPr>
        <w:t>663</w:t>
      </w:r>
      <w:r w:rsidR="006E3BE0" w:rsidRPr="00253A00">
        <w:rPr>
          <w:bCs/>
        </w:rPr>
        <w:t xml:space="preserve">, </w:t>
      </w:r>
      <w:r w:rsidR="006E3BE0">
        <w:rPr>
          <w:bCs/>
        </w:rPr>
        <w:t>3</w:t>
      </w:r>
      <w:r w:rsidR="006E3BE0" w:rsidRPr="00253A00">
        <w:rPr>
          <w:bCs/>
        </w:rPr>
        <w:t>º andar, Jardim Paulistano, CEP 0145</w:t>
      </w:r>
      <w:r w:rsidR="006E3BE0">
        <w:rPr>
          <w:bCs/>
        </w:rPr>
        <w:t>2</w:t>
      </w:r>
      <w:r w:rsidR="006E3BE0" w:rsidRPr="00253A00">
        <w:rPr>
          <w:bCs/>
        </w:rPr>
        <w:t>-</w:t>
      </w:r>
      <w:r w:rsidR="006E3BE0">
        <w:rPr>
          <w:bCs/>
        </w:rPr>
        <w:t>001</w:t>
      </w:r>
      <w:r w:rsidR="006E3BE0" w:rsidRPr="00253A00">
        <w:rPr>
          <w:bCs/>
        </w:rPr>
        <w:t>, inscrita no CNPJ/MF sob o n°</w:t>
      </w:r>
      <w:r w:rsidR="006E3BE0">
        <w:rPr>
          <w:bCs/>
        </w:rPr>
        <w:t xml:space="preserve"> </w:t>
      </w:r>
      <w:r w:rsidR="006E3BE0" w:rsidRPr="005B45BD">
        <w:rPr>
          <w:bCs/>
        </w:rPr>
        <w:t>34.978.626/0001-99</w:t>
      </w:r>
      <w:r w:rsidR="006E3BE0">
        <w:rPr>
          <w:bCs/>
        </w:rPr>
        <w:t xml:space="preserve"> </w:t>
      </w:r>
      <w:r w:rsidR="000F79CF" w:rsidRPr="00EF7399">
        <w:t>(“</w:t>
      </w:r>
      <w:r w:rsidR="000F79CF" w:rsidRPr="00A54852">
        <w:rPr>
          <w:b/>
          <w:bCs/>
        </w:rPr>
        <w:t>Coordenador Líder</w:t>
      </w:r>
      <w:r w:rsidR="000F79CF" w:rsidRPr="00EF7399">
        <w:t>”)</w:t>
      </w:r>
      <w:r w:rsidR="00B1671B" w:rsidRPr="00B06AB6">
        <w:t>,</w:t>
      </w:r>
      <w:bookmarkEnd w:id="2"/>
      <w:r w:rsidR="00120D9A" w:rsidRPr="00B06AB6">
        <w:t xml:space="preserve"> comunica</w:t>
      </w:r>
      <w:r w:rsidR="00B06AB6">
        <w:t>m</w:t>
      </w:r>
      <w:r w:rsidR="00120D9A" w:rsidRPr="00B06AB6">
        <w:t xml:space="preserve">, nos termos do artigo </w:t>
      </w:r>
      <w:r w:rsidR="005E1E18" w:rsidRPr="00B06AB6">
        <w:t xml:space="preserve">59, II, </w:t>
      </w:r>
      <w:r w:rsidR="00120D9A" w:rsidRPr="00B06AB6">
        <w:t>da Resolução da CVM nº 160, de 13 de julho de 2022, conforme em vigor (“</w:t>
      </w:r>
      <w:r w:rsidR="00120D9A" w:rsidRPr="00B06AB6">
        <w:rPr>
          <w:b/>
        </w:rPr>
        <w:t>Resolução CVM 160</w:t>
      </w:r>
      <w:r w:rsidR="00120D9A" w:rsidRPr="00B06AB6">
        <w:t xml:space="preserve">”), </w:t>
      </w:r>
      <w:r w:rsidR="00645213">
        <w:t>no âmbito</w:t>
      </w:r>
      <w:r w:rsidR="005E1E18" w:rsidRPr="00B06AB6">
        <w:t xml:space="preserve"> </w:t>
      </w:r>
      <w:r w:rsidR="00120D9A" w:rsidRPr="00B06AB6">
        <w:t>da distribuição pública de</w:t>
      </w:r>
      <w:r w:rsidR="00645213">
        <w:t xml:space="preserve"> até</w:t>
      </w:r>
      <w:r w:rsidR="00120D9A" w:rsidRPr="00B06AB6">
        <w:t xml:space="preserve"> </w:t>
      </w:r>
      <w:r w:rsidR="00D65C88">
        <w:t>903.000 (novecentas e três mil)</w:t>
      </w:r>
      <w:r w:rsidR="00E134AD" w:rsidRPr="00B06AB6">
        <w:t xml:space="preserve"> cotas</w:t>
      </w:r>
      <w:r w:rsidR="008B4C5A" w:rsidRPr="00B06AB6">
        <w:t xml:space="preserve"> seniores</w:t>
      </w:r>
      <w:r w:rsidR="00E134AD" w:rsidRPr="00B06AB6">
        <w:t xml:space="preserve"> da </w:t>
      </w:r>
      <w:r w:rsidR="006E3BE0">
        <w:t>1</w:t>
      </w:r>
      <w:r w:rsidR="00E134AD" w:rsidRPr="00B06AB6">
        <w:t>ª (</w:t>
      </w:r>
      <w:r w:rsidR="006E3BE0">
        <w:t>primeira</w:t>
      </w:r>
      <w:r w:rsidR="00E134AD" w:rsidRPr="00B06AB6">
        <w:t>) emissão</w:t>
      </w:r>
      <w:r w:rsidR="008B4C5A" w:rsidRPr="00B06AB6">
        <w:t>, da 2ª (segunda) série,</w:t>
      </w:r>
      <w:r w:rsidR="00E134AD" w:rsidRPr="00B06AB6">
        <w:t xml:space="preserve"> do Fundo (“</w:t>
      </w:r>
      <w:r w:rsidR="00E134AD" w:rsidRPr="00B06AB6">
        <w:rPr>
          <w:b/>
          <w:bCs/>
        </w:rPr>
        <w:t>Emissão</w:t>
      </w:r>
      <w:r w:rsidR="00E134AD" w:rsidRPr="00B06AB6">
        <w:t>”)</w:t>
      </w:r>
      <w:r w:rsidR="00FE612E" w:rsidRPr="00B06AB6">
        <w:t>, com valor nominal unitário de R$ 1.000,00 (mil reais) (“</w:t>
      </w:r>
      <w:r w:rsidR="00FE612E" w:rsidRPr="00B06AB6">
        <w:rPr>
          <w:b/>
        </w:rPr>
        <w:t>Valor Nominal Unitário</w:t>
      </w:r>
      <w:r w:rsidR="00FE612E" w:rsidRPr="00B06AB6">
        <w:t>”),</w:t>
      </w:r>
      <w:r w:rsidR="00E134AD" w:rsidRPr="00B06AB6">
        <w:t xml:space="preserve"> no montante total de </w:t>
      </w:r>
      <w:r w:rsidR="00645213">
        <w:t xml:space="preserve">até </w:t>
      </w:r>
      <w:r w:rsidR="00E134AD" w:rsidRPr="00B06AB6">
        <w:t>R$</w:t>
      </w:r>
      <w:r w:rsidR="00B651C6" w:rsidRPr="00B651C6">
        <w:t>903.000.000,00</w:t>
      </w:r>
      <w:r w:rsidR="00E134AD" w:rsidRPr="00B06AB6">
        <w:t xml:space="preserve"> (</w:t>
      </w:r>
      <w:r w:rsidR="00B651C6" w:rsidRPr="00B651C6">
        <w:t>novecentos e três milhões de reais</w:t>
      </w:r>
      <w:r w:rsidR="00E134AD" w:rsidRPr="00B06AB6">
        <w:t>)</w:t>
      </w:r>
      <w:r w:rsidR="00E134AD" w:rsidRPr="00B06AB6">
        <w:rPr>
          <w:iCs/>
          <w:lang w:eastAsia="ar-SA"/>
        </w:rPr>
        <w:t xml:space="preserve"> (“</w:t>
      </w:r>
      <w:r w:rsidR="00157E7C" w:rsidRPr="00B06AB6">
        <w:rPr>
          <w:b/>
          <w:bCs/>
          <w:iCs/>
          <w:lang w:eastAsia="ar-SA"/>
        </w:rPr>
        <w:t>Novas</w:t>
      </w:r>
      <w:r w:rsidR="00157E7C" w:rsidRPr="00B06AB6">
        <w:rPr>
          <w:iCs/>
          <w:lang w:eastAsia="ar-SA"/>
        </w:rPr>
        <w:t xml:space="preserve"> </w:t>
      </w:r>
      <w:r w:rsidR="00E134AD" w:rsidRPr="00B06AB6">
        <w:rPr>
          <w:b/>
          <w:bCs/>
          <w:iCs/>
          <w:lang w:eastAsia="ar-SA"/>
        </w:rPr>
        <w:t>Cotas</w:t>
      </w:r>
      <w:r w:rsidR="00157E7C" w:rsidRPr="00B06AB6">
        <w:rPr>
          <w:iCs/>
          <w:lang w:eastAsia="ar-SA"/>
        </w:rPr>
        <w:t>”)</w:t>
      </w:r>
      <w:r w:rsidR="00E134AD" w:rsidRPr="00B06AB6">
        <w:rPr>
          <w:iCs/>
          <w:lang w:eastAsia="ar-SA"/>
        </w:rPr>
        <w:t>,</w:t>
      </w:r>
      <w:r w:rsidR="009D283A" w:rsidRPr="00B06AB6">
        <w:t xml:space="preserve"> destinada exclusivamente a </w:t>
      </w:r>
      <w:r w:rsidR="00157E7C" w:rsidRPr="00B06AB6">
        <w:t>investidores profissionais</w:t>
      </w:r>
      <w:r w:rsidR="009D283A" w:rsidRPr="00B06AB6">
        <w:t>, assim definidos nos termos do artigo 11 da Resolução CVM nº 30, de 11 de maio de 2021, conforme alterada de tempos em tempos, estando, portanto, sujeita ao rito automático de registro de oferta pública de distribuição de valores mobiliários, nos termos do artigo 2</w:t>
      </w:r>
      <w:r w:rsidR="00B40B6D" w:rsidRPr="00B06AB6">
        <w:t>6</w:t>
      </w:r>
      <w:r w:rsidR="009D283A" w:rsidRPr="00B06AB6">
        <w:t xml:space="preserve">, inciso </w:t>
      </w:r>
      <w:r w:rsidR="00B40B6D" w:rsidRPr="00B06AB6">
        <w:t>V</w:t>
      </w:r>
      <w:r w:rsidR="009D283A" w:rsidRPr="00B06AB6">
        <w:t>I</w:t>
      </w:r>
      <w:r w:rsidR="00B40B6D" w:rsidRPr="00B06AB6">
        <w:t>I, alínea “a”</w:t>
      </w:r>
      <w:r w:rsidR="009D283A" w:rsidRPr="00B06AB6">
        <w:t xml:space="preserve">, da Resolução CVM 160 e do artigo 19 da </w:t>
      </w:r>
      <w:r w:rsidR="0009057E" w:rsidRPr="00B06AB6">
        <w:t>Lei nº 6.385, de 7 de dezembro de 1976, conforme alterada (</w:t>
      </w:r>
      <w:r w:rsidR="00120D9A" w:rsidRPr="00B06AB6">
        <w:t>“</w:t>
      </w:r>
      <w:r w:rsidR="00120D9A" w:rsidRPr="00B06AB6">
        <w:rPr>
          <w:b/>
        </w:rPr>
        <w:t>Oferta</w:t>
      </w:r>
      <w:r w:rsidR="00120D9A" w:rsidRPr="00B06AB6">
        <w:t>”)</w:t>
      </w:r>
      <w:r w:rsidR="00B07184" w:rsidRPr="00926E61">
        <w:t>,</w:t>
      </w:r>
      <w:r w:rsidR="00B07184" w:rsidRPr="00486D17">
        <w:t xml:space="preserve"> vêm a público, em atendimento ao disposto nos artigos 67 e 69 da Resolução da CVM nº 160, de 13 de julho de 2022, conforme em vigor (“</w:t>
      </w:r>
      <w:r w:rsidR="00B07184" w:rsidRPr="00486D17">
        <w:rPr>
          <w:b/>
        </w:rPr>
        <w:t>Resolução CVM 160</w:t>
      </w:r>
      <w:r w:rsidR="00B07184" w:rsidRPr="00486D17">
        <w:t xml:space="preserve">”), comunicar a </w:t>
      </w:r>
      <w:r w:rsidR="00421A55">
        <w:t>modificação da Oferta, para alterar</w:t>
      </w:r>
      <w:r w:rsidR="00421A55" w:rsidRPr="00486D17">
        <w:t xml:space="preserve"> </w:t>
      </w:r>
      <w:r w:rsidR="00421A55">
        <w:t>Montante Mínimo da Oferta</w:t>
      </w:r>
      <w:r w:rsidR="001623E5">
        <w:t>, conforme previsto no “</w:t>
      </w:r>
      <w:r w:rsidR="001623E5" w:rsidRPr="00913A53">
        <w:rPr>
          <w:i/>
          <w:iCs/>
        </w:rPr>
        <w:t>Suplemento Referente à 1ª (Primeira) Emissão da 2ª (Segunda) Série de Emissão de Cotas Seniores</w:t>
      </w:r>
      <w:r w:rsidR="001623E5">
        <w:t xml:space="preserve">”, celebrado pelo Administrador em 24 de novembro de 2023, nos termos </w:t>
      </w:r>
      <w:r w:rsidR="001623E5" w:rsidRPr="00677A77">
        <w:t>d</w:t>
      </w:r>
      <w:r w:rsidR="00421A55" w:rsidRPr="00677A77">
        <w:t xml:space="preserve">a </w:t>
      </w:r>
      <w:r w:rsidR="00A20742" w:rsidRPr="00677A77">
        <w:t xml:space="preserve">assembleia geral de cotistas </w:t>
      </w:r>
      <w:r w:rsidR="001623E5" w:rsidRPr="00677A77">
        <w:t xml:space="preserve">do fundo </w:t>
      </w:r>
      <w:r w:rsidR="00421A55" w:rsidRPr="00677A77">
        <w:t xml:space="preserve">realizada em </w:t>
      </w:r>
      <w:r w:rsidR="00677A77" w:rsidRPr="00677A77">
        <w:t>29</w:t>
      </w:r>
      <w:r w:rsidR="00421A55" w:rsidRPr="00677A77">
        <w:t xml:space="preserve"> de maio de 2024, de modo que o </w:t>
      </w:r>
      <w:r w:rsidR="001623E5" w:rsidRPr="00677A77">
        <w:t>volume mínimo de colocação</w:t>
      </w:r>
      <w:r w:rsidR="00421A55" w:rsidRPr="00677A77">
        <w:t xml:space="preserve"> </w:t>
      </w:r>
      <w:r w:rsidR="001623E5" w:rsidRPr="00677A77">
        <w:t>passará</w:t>
      </w:r>
      <w:r w:rsidR="00421A55" w:rsidRPr="00677A77">
        <w:t xml:space="preserve"> a </w:t>
      </w:r>
      <w:r w:rsidR="001623E5" w:rsidRPr="00677A77">
        <w:t xml:space="preserve">ser de </w:t>
      </w:r>
      <w:r w:rsidR="001623E5" w:rsidRPr="00677A77">
        <w:rPr>
          <w:rFonts w:eastAsiaTheme="minorHAnsi"/>
          <w:lang w:eastAsia="en-US"/>
        </w:rPr>
        <w:t>400.000 (quatrocentas mi), totalizando o Montante Mínimo da Oferta de R$ 400.000.000,00 (</w:t>
      </w:r>
      <w:r w:rsidR="00677A77" w:rsidRPr="00677A77">
        <w:rPr>
          <w:rFonts w:eastAsiaTheme="minorHAnsi"/>
          <w:lang w:eastAsia="en-US"/>
        </w:rPr>
        <w:t>quatrocentos</w:t>
      </w:r>
      <w:r w:rsidR="001623E5" w:rsidRPr="00677A77">
        <w:rPr>
          <w:rFonts w:eastAsiaTheme="minorHAnsi"/>
          <w:lang w:eastAsia="en-US"/>
        </w:rPr>
        <w:t xml:space="preserve"> milhões de reais).</w:t>
      </w:r>
    </w:p>
    <w:p w14:paraId="67F5BAFC" w14:textId="51A1177B" w:rsidR="00B07184" w:rsidRPr="00486D17" w:rsidRDefault="00B07184" w:rsidP="00B07184">
      <w:pPr>
        <w:pStyle w:val="Body"/>
      </w:pPr>
      <w:r w:rsidRPr="00486D17">
        <w:t>Em vista do exposto acima, os Coordenadores e o Administrador comunicam, ainda, que: (i) a modificação da Oferta não depende de aprovação prévia da Superintendência de Registro de Valores Mobiliários da CVM, conforme disposto no artigo 6</w:t>
      </w:r>
      <w:r w:rsidR="00677A77">
        <w:t>9</w:t>
      </w:r>
      <w:r w:rsidRPr="00486D17">
        <w:t>, §2º, da Resolução CVM 160; e (</w:t>
      </w:r>
      <w:proofErr w:type="spellStart"/>
      <w:r w:rsidRPr="00486D17">
        <w:t>ii</w:t>
      </w:r>
      <w:proofErr w:type="spellEnd"/>
      <w:r w:rsidRPr="00486D17">
        <w:t>) não será facultado o direito de desistência previsto no artigo 6</w:t>
      </w:r>
      <w:r w:rsidR="00677A77">
        <w:t>7</w:t>
      </w:r>
      <w:r w:rsidRPr="00486D17">
        <w:t>, §</w:t>
      </w:r>
      <w:r w:rsidR="001623E5">
        <w:t>8</w:t>
      </w:r>
      <w:r w:rsidRPr="00486D17">
        <w:t xml:space="preserve">º, da Resolução CVM 160, tendo em vista que </w:t>
      </w:r>
      <w:r w:rsidR="001623E5">
        <w:t>a modificação da Oferta pretende melhorá-la para os investidores</w:t>
      </w:r>
      <w:r w:rsidRPr="00486D17">
        <w:t>.</w:t>
      </w:r>
    </w:p>
    <w:p w14:paraId="7E5F96B7" w14:textId="77777777" w:rsidR="00421A55" w:rsidRDefault="00421A55" w:rsidP="00913A53">
      <w:pPr>
        <w:autoSpaceDE w:val="0"/>
        <w:autoSpaceDN w:val="0"/>
        <w:adjustRightInd w:val="0"/>
        <w:spacing w:line="240" w:lineRule="auto"/>
        <w:rPr>
          <w:b/>
          <w:bCs/>
        </w:rPr>
      </w:pPr>
    </w:p>
    <w:p w14:paraId="04F5619B" w14:textId="638046EB" w:rsidR="00836D49" w:rsidRPr="00B06AB6" w:rsidRDefault="00836D49" w:rsidP="00B615C0">
      <w:pPr>
        <w:pStyle w:val="Body"/>
        <w:keepNext/>
        <w:keepLines/>
        <w:rPr>
          <w:b/>
          <w:bCs/>
        </w:rPr>
      </w:pPr>
      <w:r w:rsidRPr="00B06AB6">
        <w:rPr>
          <w:b/>
          <w:bCs/>
        </w:rPr>
        <w:t>INFORMAÇÕES ADICIONAIS</w:t>
      </w:r>
    </w:p>
    <w:p w14:paraId="37501ADD" w14:textId="30B20F32" w:rsidR="00FC08CF" w:rsidRPr="00B06AB6" w:rsidRDefault="009167C9" w:rsidP="00B615C0">
      <w:pPr>
        <w:pStyle w:val="Body"/>
        <w:keepNext/>
        <w:keepLines/>
      </w:pPr>
      <w:r w:rsidRPr="00B06AB6">
        <w:t>Informações adicionais a respeito d</w:t>
      </w:r>
      <w:r w:rsidR="00836D49" w:rsidRPr="00B06AB6">
        <w:t xml:space="preserve">a Oferta e </w:t>
      </w:r>
      <w:r w:rsidRPr="00B06AB6">
        <w:t>d</w:t>
      </w:r>
      <w:r w:rsidR="00836D49" w:rsidRPr="00B06AB6">
        <w:t xml:space="preserve">as </w:t>
      </w:r>
      <w:r w:rsidR="00B40B6D" w:rsidRPr="00B06AB6">
        <w:t xml:space="preserve">Novas </w:t>
      </w:r>
      <w:r w:rsidR="003870B8" w:rsidRPr="00B06AB6">
        <w:t xml:space="preserve">Cotas </w:t>
      </w:r>
      <w:r w:rsidR="00836D49" w:rsidRPr="00B06AB6">
        <w:t xml:space="preserve">podem ser obtidas com </w:t>
      </w:r>
      <w:r w:rsidR="003870B8" w:rsidRPr="00B06AB6">
        <w:t xml:space="preserve">o </w:t>
      </w:r>
      <w:r w:rsidR="000F79CF">
        <w:t xml:space="preserve">Coordenador Líder </w:t>
      </w:r>
      <w:r w:rsidR="00836D49" w:rsidRPr="00B06AB6">
        <w:t>e</w:t>
      </w:r>
      <w:r w:rsidR="003870B8" w:rsidRPr="00B06AB6">
        <w:t>/</w:t>
      </w:r>
      <w:r w:rsidR="00836D49" w:rsidRPr="00B06AB6">
        <w:t>ou com a CVM</w:t>
      </w:r>
      <w:r w:rsidRPr="00B06AB6">
        <w:t xml:space="preserve">, inclusive </w:t>
      </w:r>
      <w:r w:rsidR="000A0AE0" w:rsidRPr="00B06AB6">
        <w:t xml:space="preserve">por meio </w:t>
      </w:r>
      <w:r w:rsidRPr="00B06AB6">
        <w:t>das seguintes páginas na rede mundial de computadores (</w:t>
      </w:r>
      <w:r w:rsidRPr="00B06AB6">
        <w:rPr>
          <w:i/>
          <w:iCs/>
        </w:rPr>
        <w:t>websites</w:t>
      </w:r>
      <w:r w:rsidRPr="00B06AB6">
        <w:t>):</w:t>
      </w:r>
      <w:r w:rsidR="00157E7C" w:rsidRPr="00B06AB6">
        <w:t xml:space="preserve"> </w:t>
      </w:r>
    </w:p>
    <w:p w14:paraId="3CF479E8" w14:textId="46BB12C7" w:rsidR="009167C9" w:rsidRPr="00B06AB6" w:rsidRDefault="009167C9" w:rsidP="00046A20">
      <w:pPr>
        <w:pStyle w:val="Body"/>
      </w:pPr>
      <w:r w:rsidRPr="00B06AB6">
        <w:rPr>
          <w:u w:val="single"/>
        </w:rPr>
        <w:t>Coordenador Líder</w:t>
      </w:r>
      <w:r w:rsidRPr="00B06AB6">
        <w:t>:</w:t>
      </w:r>
      <w:r w:rsidR="00824AA6" w:rsidRPr="00B06AB6">
        <w:t xml:space="preserve"> </w:t>
      </w:r>
      <w:r w:rsidR="005A6190">
        <w:t xml:space="preserve"> </w:t>
      </w:r>
      <w:r w:rsidR="00F82EF6" w:rsidRPr="00F82EF6">
        <w:t xml:space="preserve">https://www.integralaccess.com.br/fidc_syngenta// (neste website, selecionar o </w:t>
      </w:r>
      <w:r w:rsidR="00421A55">
        <w:t>“</w:t>
      </w:r>
      <w:r w:rsidR="005804C0">
        <w:rPr>
          <w:rStyle w:val="ui-provider"/>
        </w:rPr>
        <w:t xml:space="preserve">Anúncio de Início” </w:t>
      </w:r>
      <w:r w:rsidR="00421A55">
        <w:rPr>
          <w:rStyle w:val="ui-provider"/>
        </w:rPr>
        <w:t>e “Comunicado</w:t>
      </w:r>
      <w:r w:rsidR="005804C0" w:rsidRPr="00B07184">
        <w:t xml:space="preserve"> ao Mercado”</w:t>
      </w:r>
      <w:r w:rsidR="00F82EF6" w:rsidRPr="00F82EF6">
        <w:t>)</w:t>
      </w:r>
    </w:p>
    <w:p w14:paraId="7D5CB1C8" w14:textId="3DBCA394" w:rsidR="009E4211" w:rsidRPr="00B06AB6" w:rsidRDefault="00B82453" w:rsidP="00046A20">
      <w:pPr>
        <w:pStyle w:val="Body"/>
        <w:rPr>
          <w:u w:val="single"/>
        </w:rPr>
      </w:pPr>
      <w:r w:rsidRPr="00B06AB6">
        <w:rPr>
          <w:u w:val="single"/>
        </w:rPr>
        <w:t>Administrador</w:t>
      </w:r>
      <w:r w:rsidR="009E4211" w:rsidRPr="00B06AB6">
        <w:rPr>
          <w:u w:val="single"/>
        </w:rPr>
        <w:t xml:space="preserve">: </w:t>
      </w:r>
      <w:r w:rsidR="00421A55" w:rsidRPr="00913A53">
        <w:t>https://www.brltrust.com.br/</w:t>
      </w:r>
      <w:r w:rsidR="00F82EF6">
        <w:rPr>
          <w:rStyle w:val="ui-provider"/>
        </w:rPr>
        <w:t xml:space="preserve"> (neste website, acessar “produtos”, em seguida, selecionar “Administração de Fundos”, clicar em “FIDC”, logo após na aba de “selecione o fundo”, pesquisar por “AGRO CITI-SYNGENTA FIDC” e, então, selecionar o </w:t>
      </w:r>
      <w:r w:rsidR="00B07184">
        <w:rPr>
          <w:rStyle w:val="ui-provider"/>
        </w:rPr>
        <w:t xml:space="preserve">“Anúncio </w:t>
      </w:r>
      <w:r w:rsidR="00F82EF6">
        <w:rPr>
          <w:rStyle w:val="ui-provider"/>
        </w:rPr>
        <w:t xml:space="preserve">de </w:t>
      </w:r>
      <w:r w:rsidR="00B07184">
        <w:rPr>
          <w:rStyle w:val="ui-provider"/>
        </w:rPr>
        <w:t xml:space="preserve">Início” </w:t>
      </w:r>
      <w:r w:rsidR="004D0550">
        <w:rPr>
          <w:rStyle w:val="ui-provider"/>
        </w:rPr>
        <w:t xml:space="preserve">e </w:t>
      </w:r>
      <w:r w:rsidR="00677A77">
        <w:t>“</w:t>
      </w:r>
      <w:r w:rsidR="00B07184" w:rsidRPr="00B07184">
        <w:t>Comunicado ao Mercado”</w:t>
      </w:r>
      <w:r w:rsidR="00F82EF6">
        <w:rPr>
          <w:rStyle w:val="ui-provider"/>
        </w:rPr>
        <w:t>)</w:t>
      </w:r>
    </w:p>
    <w:p w14:paraId="5F1D3087" w14:textId="0ABA8F1F" w:rsidR="009167C9" w:rsidRPr="00B06AB6" w:rsidRDefault="009167C9" w:rsidP="00046A20">
      <w:pPr>
        <w:pStyle w:val="Body"/>
      </w:pPr>
      <w:r w:rsidRPr="00B06AB6">
        <w:rPr>
          <w:u w:val="single"/>
        </w:rPr>
        <w:t>CVM</w:t>
      </w:r>
      <w:r w:rsidRPr="00B06AB6">
        <w:t xml:space="preserve">: </w:t>
      </w:r>
      <w:r w:rsidR="00421A55" w:rsidRPr="00913A53">
        <w:t>https://web.cvm.gov.br/sre-publico-cvm/#/consulta-oferta-publica</w:t>
      </w:r>
      <w:r w:rsidR="00F82EF6">
        <w:rPr>
          <w:rStyle w:val="ui-provider"/>
        </w:rPr>
        <w:t xml:space="preserve"> (neste website localizar a aba de “Emissora”, pesquisar por “FUNDO DE INVESTIMENTO EM DIREITOS CREDITÓRIOS AGRO CITI-SYNGENTA”, clicar no menu </w:t>
      </w:r>
      <w:r w:rsidR="00F82EF6">
        <w:rPr>
          <w:rStyle w:val="ui-provider"/>
        </w:rPr>
        <w:lastRenderedPageBreak/>
        <w:t xml:space="preserve">de visualizar no canto esquerdo à Oferta, na coluna de “Ações”, e, então, selecionar o </w:t>
      </w:r>
      <w:r w:rsidR="00B07184">
        <w:rPr>
          <w:rStyle w:val="ui-provider"/>
        </w:rPr>
        <w:t xml:space="preserve">“Anúncio de Início” </w:t>
      </w:r>
      <w:r w:rsidR="004D0550">
        <w:rPr>
          <w:rStyle w:val="ui-provider"/>
        </w:rPr>
        <w:t xml:space="preserve">e </w:t>
      </w:r>
      <w:r w:rsidR="001623E5">
        <w:t>“</w:t>
      </w:r>
      <w:r w:rsidR="00B07184" w:rsidRPr="00B07184">
        <w:t>Comunicado ao Mercado”</w:t>
      </w:r>
      <w:r w:rsidR="00F82EF6">
        <w:rPr>
          <w:rStyle w:val="ui-provider"/>
        </w:rPr>
        <w:t>)</w:t>
      </w:r>
    </w:p>
    <w:p w14:paraId="0D0C8901" w14:textId="2DEDD8C3" w:rsidR="00157E7C" w:rsidRPr="00B06AB6" w:rsidRDefault="00157E7C" w:rsidP="00046A20">
      <w:pPr>
        <w:pStyle w:val="Body"/>
      </w:pPr>
      <w:r w:rsidRPr="00B06AB6">
        <w:rPr>
          <w:u w:val="single"/>
        </w:rPr>
        <w:t>B3</w:t>
      </w:r>
      <w:r w:rsidRPr="00B06AB6">
        <w:t xml:space="preserve">: </w:t>
      </w:r>
      <w:r w:rsidR="00421A55" w:rsidRPr="00913A53">
        <w:t>https://fnet.bmfbovespa.com.br/fnet/publico/abrirGerenciadorDocumentosCVM?cnpjFundo=46073195000109</w:t>
      </w:r>
      <w:r w:rsidR="00F82EF6">
        <w:rPr>
          <w:rStyle w:val="ui-provider"/>
        </w:rPr>
        <w:t xml:space="preserve"> (neste website, </w:t>
      </w:r>
      <w:r w:rsidR="00D53514">
        <w:rPr>
          <w:rStyle w:val="ui-provider"/>
        </w:rPr>
        <w:t xml:space="preserve">buscar </w:t>
      </w:r>
      <w:r w:rsidR="00F82EF6">
        <w:rPr>
          <w:rStyle w:val="ui-provider"/>
        </w:rPr>
        <w:t xml:space="preserve">o </w:t>
      </w:r>
      <w:r w:rsidR="00B07184">
        <w:rPr>
          <w:rStyle w:val="ui-provider"/>
        </w:rPr>
        <w:t xml:space="preserve">“Anúncio de Início” </w:t>
      </w:r>
      <w:r w:rsidR="004D0550">
        <w:rPr>
          <w:rStyle w:val="ui-provider"/>
        </w:rPr>
        <w:t xml:space="preserve">e </w:t>
      </w:r>
      <w:bookmarkStart w:id="3" w:name="_Hlk152681540"/>
      <w:r w:rsidR="00677A77">
        <w:rPr>
          <w:rStyle w:val="ui-provider"/>
        </w:rPr>
        <w:t>“</w:t>
      </w:r>
      <w:r w:rsidR="00D53514">
        <w:t>Aviso</w:t>
      </w:r>
      <w:r w:rsidR="00D53514" w:rsidRPr="00B07184" w:rsidDel="00D53514">
        <w:t xml:space="preserve"> </w:t>
      </w:r>
      <w:r w:rsidR="00B07184" w:rsidRPr="00B07184">
        <w:t>ao Mercado</w:t>
      </w:r>
      <w:bookmarkEnd w:id="3"/>
      <w:r w:rsidR="00B07184" w:rsidRPr="00B07184">
        <w:t>”</w:t>
      </w:r>
      <w:r w:rsidR="00F82EF6">
        <w:rPr>
          <w:rStyle w:val="ui-provider"/>
        </w:rPr>
        <w:t>)</w:t>
      </w:r>
    </w:p>
    <w:p w14:paraId="7B15513C" w14:textId="3DFAFF10" w:rsidR="00120D9A" w:rsidRDefault="00120D9A" w:rsidP="00B615C0">
      <w:pPr>
        <w:pStyle w:val="Heading"/>
        <w:rPr>
          <w:b w:val="0"/>
          <w:bCs w:val="0"/>
          <w:sz w:val="20"/>
        </w:rPr>
      </w:pPr>
      <w:r w:rsidRPr="00B06AB6">
        <w:rPr>
          <w:b w:val="0"/>
          <w:bCs w:val="0"/>
          <w:sz w:val="20"/>
        </w:rPr>
        <w:t>Os termos iniciados em letra maiúscula e utilizados neste “</w:t>
      </w:r>
      <w:r w:rsidR="00926E61" w:rsidRPr="00486D17">
        <w:rPr>
          <w:b w:val="0"/>
          <w:bCs w:val="0"/>
          <w:i/>
          <w:iCs/>
          <w:sz w:val="20"/>
        </w:rPr>
        <w:t>Comunicado ao Mercado</w:t>
      </w:r>
      <w:r w:rsidR="00926E61" w:rsidRPr="00926E61" w:rsidDel="00926E61">
        <w:rPr>
          <w:i/>
          <w:iCs/>
          <w:sz w:val="20"/>
        </w:rPr>
        <w:t xml:space="preserve"> </w:t>
      </w:r>
      <w:r w:rsidRPr="00926E61">
        <w:rPr>
          <w:b w:val="0"/>
          <w:bCs w:val="0"/>
          <w:i/>
          <w:iCs/>
          <w:sz w:val="20"/>
        </w:rPr>
        <w:t>da</w:t>
      </w:r>
      <w:r w:rsidRPr="00B06AB6">
        <w:rPr>
          <w:b w:val="0"/>
          <w:bCs w:val="0"/>
          <w:i/>
          <w:iCs/>
          <w:sz w:val="20"/>
        </w:rPr>
        <w:t xml:space="preserve"> </w:t>
      </w:r>
      <w:r w:rsidR="0009057E" w:rsidRPr="00B06AB6">
        <w:rPr>
          <w:b w:val="0"/>
          <w:bCs w:val="0"/>
          <w:i/>
          <w:iCs/>
          <w:sz w:val="20"/>
        </w:rPr>
        <w:t xml:space="preserve">Oferta </w:t>
      </w:r>
      <w:r w:rsidR="00185727" w:rsidRPr="00B06AB6">
        <w:rPr>
          <w:b w:val="0"/>
          <w:bCs w:val="0"/>
          <w:i/>
          <w:iCs/>
          <w:sz w:val="20"/>
        </w:rPr>
        <w:t xml:space="preserve">de </w:t>
      </w:r>
      <w:r w:rsidR="0009057E" w:rsidRPr="00B06AB6">
        <w:rPr>
          <w:b w:val="0"/>
          <w:bCs w:val="0"/>
          <w:i/>
          <w:iCs/>
          <w:sz w:val="20"/>
        </w:rPr>
        <w:t xml:space="preserve">Distribuição Pública </w:t>
      </w:r>
      <w:r w:rsidR="00185727" w:rsidRPr="00B06AB6">
        <w:rPr>
          <w:b w:val="0"/>
          <w:bCs w:val="0"/>
          <w:i/>
          <w:iCs/>
          <w:sz w:val="20"/>
        </w:rPr>
        <w:t xml:space="preserve">de </w:t>
      </w:r>
      <w:r w:rsidR="0009057E" w:rsidRPr="00B06AB6">
        <w:rPr>
          <w:b w:val="0"/>
          <w:bCs w:val="0"/>
          <w:i/>
          <w:iCs/>
          <w:sz w:val="20"/>
        </w:rPr>
        <w:t xml:space="preserve">Cotas </w:t>
      </w:r>
      <w:r w:rsidR="00185727" w:rsidRPr="00B06AB6">
        <w:rPr>
          <w:b w:val="0"/>
          <w:bCs w:val="0"/>
          <w:i/>
          <w:iCs/>
          <w:sz w:val="20"/>
        </w:rPr>
        <w:t>d</w:t>
      </w:r>
      <w:r w:rsidR="00B40B6D" w:rsidRPr="00B06AB6">
        <w:rPr>
          <w:b w:val="0"/>
          <w:bCs w:val="0"/>
          <w:i/>
          <w:iCs/>
          <w:sz w:val="20"/>
        </w:rPr>
        <w:t>e</w:t>
      </w:r>
      <w:r w:rsidR="0009057E" w:rsidRPr="00B06AB6">
        <w:rPr>
          <w:b w:val="0"/>
          <w:bCs w:val="0"/>
          <w:i/>
          <w:iCs/>
          <w:sz w:val="20"/>
        </w:rPr>
        <w:t xml:space="preserve"> Emissão </w:t>
      </w:r>
      <w:r w:rsidR="00185727" w:rsidRPr="00B06AB6">
        <w:rPr>
          <w:b w:val="0"/>
          <w:bCs w:val="0"/>
          <w:i/>
          <w:iCs/>
          <w:sz w:val="20"/>
        </w:rPr>
        <w:t xml:space="preserve">do </w:t>
      </w:r>
      <w:r w:rsidR="009E4211" w:rsidRPr="00B06AB6">
        <w:rPr>
          <w:b w:val="0"/>
          <w:bCs w:val="0"/>
          <w:i/>
          <w:iCs/>
          <w:sz w:val="20"/>
        </w:rPr>
        <w:t>Fundo de Investimento em Direitos Creditórios Agro Citi-</w:t>
      </w:r>
      <w:r w:rsidR="00B82453" w:rsidRPr="00B06AB6">
        <w:rPr>
          <w:b w:val="0"/>
          <w:bCs w:val="0"/>
          <w:i/>
          <w:iCs/>
          <w:sz w:val="20"/>
        </w:rPr>
        <w:t>Syngenta</w:t>
      </w:r>
      <w:r w:rsidRPr="00B06AB6">
        <w:rPr>
          <w:b w:val="0"/>
          <w:bCs w:val="0"/>
          <w:sz w:val="20"/>
        </w:rPr>
        <w:t>” (“</w:t>
      </w:r>
      <w:r w:rsidR="00FD2B82">
        <w:rPr>
          <w:sz w:val="20"/>
        </w:rPr>
        <w:t>Comunicado ao Mercado</w:t>
      </w:r>
      <w:r w:rsidRPr="00B06AB6">
        <w:rPr>
          <w:b w:val="0"/>
          <w:bCs w:val="0"/>
          <w:sz w:val="20"/>
        </w:rPr>
        <w:t>”), que não estejam aqui definidos, terão o significado a eles atribuído</w:t>
      </w:r>
      <w:r w:rsidR="00185727" w:rsidRPr="00B06AB6">
        <w:rPr>
          <w:b w:val="0"/>
          <w:bCs w:val="0"/>
          <w:sz w:val="20"/>
        </w:rPr>
        <w:t xml:space="preserve">s na ata da assembleia geral de cotistas, realizada em </w:t>
      </w:r>
      <w:r w:rsidR="00E67709">
        <w:rPr>
          <w:b w:val="0"/>
          <w:bCs w:val="0"/>
          <w:sz w:val="20"/>
        </w:rPr>
        <w:t>24</w:t>
      </w:r>
      <w:r w:rsidR="00E67709" w:rsidRPr="00B06AB6">
        <w:rPr>
          <w:b w:val="0"/>
          <w:bCs w:val="0"/>
          <w:sz w:val="20"/>
        </w:rPr>
        <w:t xml:space="preserve"> </w:t>
      </w:r>
      <w:r w:rsidR="00185727" w:rsidRPr="00B06AB6">
        <w:rPr>
          <w:b w:val="0"/>
          <w:bCs w:val="0"/>
          <w:sz w:val="20"/>
        </w:rPr>
        <w:t xml:space="preserve">de </w:t>
      </w:r>
      <w:r w:rsidR="00E67709">
        <w:rPr>
          <w:b w:val="0"/>
          <w:bCs w:val="0"/>
          <w:sz w:val="20"/>
        </w:rPr>
        <w:t>novembro</w:t>
      </w:r>
      <w:r w:rsidR="00E67709" w:rsidRPr="00B06AB6">
        <w:rPr>
          <w:b w:val="0"/>
          <w:bCs w:val="0"/>
          <w:sz w:val="20"/>
        </w:rPr>
        <w:t xml:space="preserve"> </w:t>
      </w:r>
      <w:r w:rsidR="00185727" w:rsidRPr="00B06AB6">
        <w:rPr>
          <w:b w:val="0"/>
          <w:bCs w:val="0"/>
          <w:sz w:val="20"/>
        </w:rPr>
        <w:t xml:space="preserve">de 2023, que aprovou a realização da Oferta e </w:t>
      </w:r>
      <w:r w:rsidR="00157E7C" w:rsidRPr="00B06AB6">
        <w:rPr>
          <w:b w:val="0"/>
          <w:bCs w:val="0"/>
          <w:sz w:val="20"/>
        </w:rPr>
        <w:t>a versão atual do</w:t>
      </w:r>
      <w:r w:rsidR="00185727" w:rsidRPr="00B06AB6">
        <w:rPr>
          <w:b w:val="0"/>
          <w:bCs w:val="0"/>
          <w:sz w:val="20"/>
        </w:rPr>
        <w:t xml:space="preserve"> regulamento do Fundo</w:t>
      </w:r>
      <w:r w:rsidRPr="00B06AB6">
        <w:rPr>
          <w:b w:val="0"/>
          <w:bCs w:val="0"/>
          <w:sz w:val="20"/>
        </w:rPr>
        <w:t>.</w:t>
      </w:r>
    </w:p>
    <w:p w14:paraId="72540F13" w14:textId="542EB4E0" w:rsidR="00120D9A" w:rsidRPr="00B06AB6" w:rsidRDefault="00A3761A" w:rsidP="00046A20">
      <w:pPr>
        <w:pStyle w:val="Body"/>
        <w:rPr>
          <w:b/>
          <w:bCs/>
        </w:rPr>
      </w:pPr>
      <w:r w:rsidRPr="00B06AB6">
        <w:rPr>
          <w:b/>
          <w:bCs/>
        </w:rPr>
        <w:t>FOI DISPENSADA DIVULGAÇÃO DE PROSPECTO E DA LÂMINA DA OFERTA PARA A REALIZAÇÃO.</w:t>
      </w:r>
      <w:r w:rsidR="00A452C5" w:rsidRPr="00B06AB6">
        <w:rPr>
          <w:b/>
          <w:bCs/>
        </w:rPr>
        <w:t xml:space="preserve"> ADICIONALMENTE, TENDO EM VISTA O RITO DE REGISTRO DA PRESENTE OFERTA, AS </w:t>
      </w:r>
      <w:r w:rsidR="00523635" w:rsidRPr="00B06AB6">
        <w:rPr>
          <w:b/>
          <w:bCs/>
        </w:rPr>
        <w:t xml:space="preserve">NOVAS </w:t>
      </w:r>
      <w:r w:rsidR="0009057E" w:rsidRPr="00B06AB6">
        <w:rPr>
          <w:b/>
          <w:bCs/>
        </w:rPr>
        <w:t xml:space="preserve">COTAS </w:t>
      </w:r>
      <w:r w:rsidR="00A452C5" w:rsidRPr="00B06AB6">
        <w:rPr>
          <w:b/>
          <w:bCs/>
        </w:rPr>
        <w:t>ESTARÃO SUJEITAS A RESTRIÇÕES À REVENDA, CONFORME INDICADO NO ARTIGO 86, INCISO II</w:t>
      </w:r>
      <w:r w:rsidR="00185727" w:rsidRPr="00B06AB6">
        <w:rPr>
          <w:b/>
          <w:bCs/>
        </w:rPr>
        <w:t xml:space="preserve"> e §1º</w:t>
      </w:r>
      <w:r w:rsidR="00A452C5" w:rsidRPr="00B06AB6">
        <w:rPr>
          <w:b/>
          <w:bCs/>
        </w:rPr>
        <w:t>, DA RESOLUÇÃO CVM 160.</w:t>
      </w:r>
    </w:p>
    <w:p w14:paraId="174D56F5" w14:textId="7EB7D1F6" w:rsidR="00F4591B" w:rsidRPr="00B06AB6" w:rsidRDefault="00F4591B" w:rsidP="00046A20">
      <w:pPr>
        <w:pStyle w:val="Body"/>
        <w:rPr>
          <w:b/>
          <w:bCs/>
        </w:rPr>
      </w:pPr>
      <w:r w:rsidRPr="00B06AB6">
        <w:rPr>
          <w:b/>
          <w:bCs/>
        </w:rPr>
        <w:t xml:space="preserve">AINDA, CONSIDERANDO QUE A OFERTA ESTÁ SUJEITA AO RITO DE REGISTRO AUTOMÁTICO DE DISTRIBUIÇÃO, O REGISTRO DA OFERTA PRESCINDE DE ANÁLISE PRÉVIA DA CVM. NESSE SENTIDO, OS DOCUMENTOS RELATIVOS ÀS </w:t>
      </w:r>
      <w:r w:rsidR="00523635" w:rsidRPr="00B06AB6">
        <w:rPr>
          <w:b/>
          <w:bCs/>
        </w:rPr>
        <w:t xml:space="preserve">NOVAS </w:t>
      </w:r>
      <w:r w:rsidR="0009057E" w:rsidRPr="00B06AB6">
        <w:rPr>
          <w:b/>
          <w:bCs/>
        </w:rPr>
        <w:t xml:space="preserve">COTAS </w:t>
      </w:r>
      <w:r w:rsidRPr="00B06AB6">
        <w:rPr>
          <w:b/>
          <w:bCs/>
        </w:rPr>
        <w:t xml:space="preserve">E À </w:t>
      </w:r>
      <w:r w:rsidR="00185727" w:rsidRPr="00B06AB6">
        <w:rPr>
          <w:b/>
          <w:bCs/>
        </w:rPr>
        <w:t>OFERTA</w:t>
      </w:r>
      <w:r w:rsidRPr="00B06AB6">
        <w:rPr>
          <w:b/>
          <w:bCs/>
        </w:rPr>
        <w:t xml:space="preserve">, INCLUINDO, SEM LIMITAÇÃO, TODOS OS DOCUMENTOS DA </w:t>
      </w:r>
      <w:r w:rsidR="00185727" w:rsidRPr="00B06AB6">
        <w:rPr>
          <w:b/>
          <w:bCs/>
        </w:rPr>
        <w:t>OFERTA</w:t>
      </w:r>
      <w:r w:rsidR="00FD2B82">
        <w:rPr>
          <w:b/>
          <w:bCs/>
        </w:rPr>
        <w:t>, O ANÚNCIO DE INÍCIO</w:t>
      </w:r>
      <w:r w:rsidR="00185727" w:rsidRPr="00B06AB6">
        <w:rPr>
          <w:b/>
          <w:bCs/>
        </w:rPr>
        <w:t xml:space="preserve"> </w:t>
      </w:r>
      <w:r w:rsidRPr="00B06AB6">
        <w:rPr>
          <w:b/>
          <w:bCs/>
        </w:rPr>
        <w:t xml:space="preserve">E O </w:t>
      </w:r>
      <w:r w:rsidR="00FD2B82">
        <w:rPr>
          <w:b/>
          <w:bCs/>
        </w:rPr>
        <w:t>COMUNICADO AO MERCADO</w:t>
      </w:r>
      <w:r w:rsidRPr="00B06AB6">
        <w:rPr>
          <w:b/>
          <w:bCs/>
        </w:rPr>
        <w:t>, NÃO FORAM OBJETO DE REVISÃO PELA CVM.</w:t>
      </w:r>
    </w:p>
    <w:p w14:paraId="1DD33FD2" w14:textId="273982AE" w:rsidR="00120D9A" w:rsidRPr="00B06AB6" w:rsidRDefault="00120D9A" w:rsidP="00046A20">
      <w:pPr>
        <w:pStyle w:val="Body"/>
        <w:jc w:val="center"/>
      </w:pPr>
      <w:r w:rsidRPr="00B06AB6">
        <w:t>São Paulo,</w:t>
      </w:r>
      <w:r w:rsidR="006C79FA" w:rsidRPr="00B06AB6">
        <w:t xml:space="preserve"> </w:t>
      </w:r>
      <w:r w:rsidR="00677A77">
        <w:t>29</w:t>
      </w:r>
      <w:r w:rsidR="00645213">
        <w:t xml:space="preserve"> </w:t>
      </w:r>
      <w:r w:rsidR="00E67709">
        <w:t xml:space="preserve">de </w:t>
      </w:r>
      <w:r w:rsidR="00645213">
        <w:t>maio</w:t>
      </w:r>
      <w:r w:rsidR="00645213" w:rsidRPr="00B06AB6">
        <w:t xml:space="preserve"> </w:t>
      </w:r>
      <w:r w:rsidRPr="00B06AB6">
        <w:t>de 202</w:t>
      </w:r>
      <w:r w:rsidR="00645213">
        <w:t>4</w:t>
      </w:r>
    </w:p>
    <w:tbl>
      <w:tblPr>
        <w:tblStyle w:val="DefaultTable"/>
        <w:tblW w:w="60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0" w:type="dxa"/>
          <w:left w:w="80" w:type="dxa"/>
          <w:bottom w:w="80" w:type="dxa"/>
          <w:right w:w="80" w:type="dxa"/>
        </w:tblCellMar>
        <w:tblLook w:val="04A0" w:firstRow="1" w:lastRow="0" w:firstColumn="1" w:lastColumn="0" w:noHBand="0" w:noVBand="1"/>
      </w:tblPr>
      <w:tblGrid>
        <w:gridCol w:w="3045"/>
        <w:gridCol w:w="3045"/>
        <w:gridCol w:w="6"/>
      </w:tblGrid>
      <w:tr w:rsidR="00913A53" w14:paraId="51FF52CE" w14:textId="77777777" w:rsidTr="00913A53">
        <w:trPr>
          <w:gridAfter w:val="1"/>
          <w:wAfter w:w="6" w:type="dxa"/>
          <w:jc w:val="center"/>
        </w:trPr>
        <w:tc>
          <w:tcPr>
            <w:tcW w:w="3045" w:type="dxa"/>
            <w:tcMar>
              <w:top w:w="85" w:type="dxa"/>
              <w:left w:w="85" w:type="dxa"/>
              <w:bottom w:w="85" w:type="dxa"/>
              <w:right w:w="85" w:type="dxa"/>
            </w:tcMar>
            <w:vAlign w:val="center"/>
            <w:hideMark/>
          </w:tcPr>
          <w:p w14:paraId="69191BB3" w14:textId="00D8ACFB" w:rsidR="00913A53" w:rsidRDefault="00913A53" w:rsidP="00515A15">
            <w:pPr>
              <w:jc w:val="center"/>
              <w:rPr>
                <w:rFonts w:ascii="Arial" w:hAnsi="Arial" w:cs="Arial"/>
              </w:rPr>
            </w:pPr>
            <w:r>
              <w:rPr>
                <w:noProof/>
              </w:rPr>
              <w:drawing>
                <wp:inline distT="0" distB="0" distL="0" distR="0" wp14:anchorId="16520A0D" wp14:editId="645720E7">
                  <wp:extent cx="967394" cy="725798"/>
                  <wp:effectExtent l="0" t="0" r="4445" b="0"/>
                  <wp:docPr id="157043539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4859" cy="746404"/>
                          </a:xfrm>
                          <a:prstGeom prst="rect">
                            <a:avLst/>
                          </a:prstGeom>
                          <a:noFill/>
                          <a:ln>
                            <a:noFill/>
                          </a:ln>
                        </pic:spPr>
                      </pic:pic>
                    </a:graphicData>
                  </a:graphic>
                </wp:inline>
              </w:drawing>
            </w:r>
          </w:p>
        </w:tc>
        <w:tc>
          <w:tcPr>
            <w:tcW w:w="3045" w:type="dxa"/>
            <w:vAlign w:val="center"/>
          </w:tcPr>
          <w:p w14:paraId="1784856D" w14:textId="000F176C" w:rsidR="00913A53" w:rsidRDefault="00913A53" w:rsidP="00515A15">
            <w:pPr>
              <w:jc w:val="center"/>
              <w:rPr>
                <w:rFonts w:ascii="Arial" w:hAnsi="Arial" w:cs="Arial"/>
              </w:rPr>
            </w:pPr>
            <w:r>
              <w:rPr>
                <w:noProof/>
              </w:rPr>
              <w:drawing>
                <wp:inline distT="0" distB="0" distL="0" distR="0" wp14:anchorId="5E02461A" wp14:editId="60E5120F">
                  <wp:extent cx="955344" cy="716590"/>
                  <wp:effectExtent l="0" t="0" r="0" b="7620"/>
                  <wp:docPr id="1010349640" name="Imagem 1"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94488" name="Imagem 1" descr="Interface gráfica do usuário&#10;&#10;Descrição gerada automaticamente com confiança mé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134" cy="728434"/>
                          </a:xfrm>
                          <a:prstGeom prst="rect">
                            <a:avLst/>
                          </a:prstGeom>
                          <a:noFill/>
                          <a:ln>
                            <a:noFill/>
                          </a:ln>
                        </pic:spPr>
                      </pic:pic>
                    </a:graphicData>
                  </a:graphic>
                </wp:inline>
              </w:drawing>
            </w:r>
          </w:p>
        </w:tc>
      </w:tr>
      <w:tr w:rsidR="00B06AB6" w:rsidRPr="00B06AB6" w14:paraId="07512D67" w14:textId="77777777" w:rsidTr="00913A53">
        <w:trPr>
          <w:jc w:val="center"/>
        </w:trPr>
        <w:tc>
          <w:tcPr>
            <w:tcW w:w="6096" w:type="dxa"/>
            <w:gridSpan w:val="3"/>
            <w:tcMar>
              <w:top w:w="113" w:type="dxa"/>
              <w:left w:w="113" w:type="dxa"/>
              <w:bottom w:w="113" w:type="dxa"/>
              <w:right w:w="113" w:type="dxa"/>
            </w:tcMar>
            <w:vAlign w:val="center"/>
            <w:hideMark/>
          </w:tcPr>
          <w:p w14:paraId="5F8239FA" w14:textId="77777777" w:rsidR="00B06AB6" w:rsidRPr="00B06AB6" w:rsidRDefault="00B06AB6" w:rsidP="00515A15">
            <w:pPr>
              <w:jc w:val="center"/>
              <w:rPr>
                <w:rFonts w:ascii="Arial" w:hAnsi="Arial" w:cs="Arial"/>
                <w:sz w:val="20"/>
              </w:rPr>
            </w:pPr>
            <w:r w:rsidRPr="00B06AB6">
              <w:rPr>
                <w:rStyle w:val="bold"/>
                <w:rFonts w:ascii="Arial" w:hAnsi="Arial" w:cs="Arial"/>
                <w:sz w:val="20"/>
              </w:rPr>
              <w:t>Coordenador Líder</w:t>
            </w:r>
          </w:p>
        </w:tc>
      </w:tr>
      <w:tr w:rsidR="00B06AB6" w14:paraId="6A12F2AB" w14:textId="77777777" w:rsidTr="00913A53">
        <w:trPr>
          <w:jc w:val="center"/>
        </w:trPr>
        <w:tc>
          <w:tcPr>
            <w:tcW w:w="6096" w:type="dxa"/>
            <w:gridSpan w:val="3"/>
            <w:tcMar>
              <w:top w:w="85" w:type="dxa"/>
              <w:left w:w="85" w:type="dxa"/>
              <w:bottom w:w="0" w:type="dxa"/>
              <w:right w:w="85" w:type="dxa"/>
            </w:tcMar>
            <w:vAlign w:val="center"/>
          </w:tcPr>
          <w:p w14:paraId="43462759" w14:textId="43AA3401" w:rsidR="00B06AB6" w:rsidRPr="000F79CF" w:rsidDel="009E4211" w:rsidRDefault="00E67709" w:rsidP="009E4211">
            <w:pPr>
              <w:jc w:val="center"/>
              <w:rPr>
                <w:rFonts w:ascii="Arial" w:hAnsi="Arial" w:cs="Arial"/>
                <w:b/>
                <w:bCs/>
                <w:szCs w:val="16"/>
                <w:lang w:val="pt-BR"/>
              </w:rPr>
            </w:pPr>
            <w:bookmarkStart w:id="4" w:name="_Hlk150871065"/>
            <w:r>
              <w:rPr>
                <w:rFonts w:ascii="Georgia" w:hAnsi="Georgia"/>
                <w:noProof/>
              </w:rPr>
              <w:t xml:space="preserve"> </w:t>
            </w:r>
          </w:p>
        </w:tc>
      </w:tr>
    </w:tbl>
    <w:bookmarkEnd w:id="4"/>
    <w:p w14:paraId="01F9B0D3" w14:textId="130E90D7" w:rsidR="00DD627B" w:rsidRPr="00B615C0" w:rsidRDefault="005A6190" w:rsidP="00AA1E07">
      <w:pPr>
        <w:jc w:val="center"/>
        <w:rPr>
          <w:rFonts w:ascii="Arial" w:hAnsi="Arial" w:cs="Arial"/>
          <w:szCs w:val="16"/>
        </w:rPr>
      </w:pPr>
      <w:r>
        <w:rPr>
          <w:noProof/>
        </w:rPr>
        <w:drawing>
          <wp:inline distT="0" distB="0" distL="0" distR="0" wp14:anchorId="3C82AA0D" wp14:editId="20283EBD">
            <wp:extent cx="1914525" cy="612891"/>
            <wp:effectExtent l="0" t="0" r="0" b="0"/>
            <wp:docPr id="16548453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8212" cy="623675"/>
                    </a:xfrm>
                    <a:prstGeom prst="rect">
                      <a:avLst/>
                    </a:prstGeom>
                    <a:noFill/>
                    <a:ln>
                      <a:noFill/>
                    </a:ln>
                  </pic:spPr>
                </pic:pic>
              </a:graphicData>
            </a:graphic>
          </wp:inline>
        </w:drawing>
      </w:r>
    </w:p>
    <w:sectPr w:rsidR="00DD627B" w:rsidRPr="00B615C0" w:rsidSect="00913A53">
      <w:endnotePr>
        <w:numFmt w:val="decimal"/>
      </w:endnotePr>
      <w:pgSz w:w="11905" w:h="16837"/>
      <w:pgMar w:top="141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883BF" w14:textId="77777777" w:rsidR="00D9305F" w:rsidRDefault="00D9305F" w:rsidP="000A68DC">
      <w:r>
        <w:separator/>
      </w:r>
    </w:p>
  </w:endnote>
  <w:endnote w:type="continuationSeparator" w:id="0">
    <w:p w14:paraId="160C56F1" w14:textId="77777777" w:rsidR="00D9305F" w:rsidRDefault="00D9305F" w:rsidP="000A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Corbel"/>
    <w:panose1 w:val="00000000000000000000"/>
    <w:charset w:val="00"/>
    <w:family w:val="swiss"/>
    <w:notTrueType/>
    <w:pitch w:val="variable"/>
    <w:sig w:usb0="00000001" w:usb1="5000204B" w:usb2="00000000" w:usb3="00000000" w:csb0="0000009F"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58ABA" w14:textId="77777777" w:rsidR="00D9305F" w:rsidRDefault="00D9305F" w:rsidP="000A68DC">
      <w:r>
        <w:separator/>
      </w:r>
    </w:p>
  </w:footnote>
  <w:footnote w:type="continuationSeparator" w:id="0">
    <w:p w14:paraId="31CDB84B" w14:textId="77777777" w:rsidR="00D9305F" w:rsidRDefault="00D9305F" w:rsidP="000A6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4742E"/>
    <w:multiLevelType w:val="multilevel"/>
    <w:tmpl w:val="3D52FDBA"/>
    <w:lvl w:ilvl="0">
      <w:start w:val="1"/>
      <w:numFmt w:val="decimal"/>
      <w:lvlRestart w:val="0"/>
      <w:pStyle w:val="ListaDD1"/>
      <w:lvlText w:val="%1"/>
      <w:lvlJc w:val="left"/>
      <w:pPr>
        <w:tabs>
          <w:tab w:val="num" w:pos="680"/>
        </w:tabs>
        <w:ind w:left="680" w:hanging="680"/>
      </w:pPr>
      <w:rPr>
        <w:rFonts w:ascii="Arial" w:hAnsi="Arial" w:cs="Arial" w:hint="default"/>
        <w:b/>
        <w:i w:val="0"/>
        <w:caps w:val="0"/>
        <w:strike w:val="0"/>
        <w:dstrike w:val="0"/>
        <w:vanish w:val="0"/>
        <w:color w:val="000000"/>
        <w:sz w:val="20"/>
        <w:vertAlign w:val="baseline"/>
      </w:rPr>
    </w:lvl>
    <w:lvl w:ilvl="1">
      <w:start w:val="1"/>
      <w:numFmt w:val="decimal"/>
      <w:pStyle w:val="ListaDD2"/>
      <w:lvlText w:val="%1.%2"/>
      <w:lvlJc w:val="left"/>
      <w:pPr>
        <w:tabs>
          <w:tab w:val="num" w:pos="680"/>
        </w:tabs>
        <w:ind w:left="680" w:hanging="680"/>
      </w:pPr>
      <w:rPr>
        <w:rFonts w:ascii="Arial" w:hAnsi="Arial" w:cs="Arial" w:hint="default"/>
        <w:b/>
        <w:i w:val="0"/>
        <w:caps w:val="0"/>
        <w:strike w:val="0"/>
        <w:dstrike w:val="0"/>
        <w:vanish w:val="0"/>
        <w:color w:val="000000"/>
        <w:sz w:val="20"/>
        <w:vertAlign w:val="baseline"/>
      </w:rPr>
    </w:lvl>
    <w:lvl w:ilvl="2">
      <w:start w:val="1"/>
      <w:numFmt w:val="decimal"/>
      <w:pStyle w:val="ListaDD3"/>
      <w:lvlText w:val="%1.%2.%3"/>
      <w:lvlJc w:val="left"/>
      <w:pPr>
        <w:tabs>
          <w:tab w:val="num" w:pos="680"/>
        </w:tabs>
        <w:ind w:left="680" w:hanging="680"/>
      </w:pPr>
      <w:rPr>
        <w:rFonts w:ascii="Arial" w:hAnsi="Arial" w:cs="Arial" w:hint="default"/>
        <w:b/>
        <w:i w:val="0"/>
        <w:caps w:val="0"/>
        <w:strike w:val="0"/>
        <w:dstrike w:val="0"/>
        <w:vanish w:val="0"/>
        <w:color w:val="000000"/>
        <w:sz w:val="17"/>
        <w:vertAlign w:val="baseline"/>
      </w:rPr>
    </w:lvl>
    <w:lvl w:ilvl="3">
      <w:start w:val="1"/>
      <w:numFmt w:val="lowerRoman"/>
      <w:pStyle w:val="ListaDD4"/>
      <w:lvlText w:val="(%4)"/>
      <w:lvlJc w:val="left"/>
      <w:pPr>
        <w:tabs>
          <w:tab w:val="num" w:pos="1077"/>
        </w:tabs>
        <w:ind w:left="1077" w:hanging="397"/>
      </w:pPr>
      <w:rPr>
        <w:rFonts w:ascii="Arial" w:hAnsi="Arial" w:cs="Arial" w:hint="default"/>
        <w:b w:val="0"/>
        <w:caps w:val="0"/>
        <w:strike w:val="0"/>
        <w:dstrike w:val="0"/>
        <w:vanish w:val="0"/>
        <w:color w:val="000000"/>
        <w:sz w:val="16"/>
        <w:szCs w:val="16"/>
        <w:vertAlign w:val="baseline"/>
      </w:rPr>
    </w:lvl>
    <w:lvl w:ilvl="4">
      <w:start w:val="1"/>
      <w:numFmt w:val="lowerLetter"/>
      <w:pStyle w:val="ListaDD5"/>
      <w:lvlText w:val="(%5)"/>
      <w:lvlJc w:val="left"/>
      <w:pPr>
        <w:tabs>
          <w:tab w:val="num" w:pos="1644"/>
        </w:tabs>
        <w:ind w:left="1474" w:hanging="397"/>
      </w:pPr>
      <w:rPr>
        <w:rFonts w:ascii="Arial" w:hAnsi="Arial" w:cs="Arial" w:hint="default"/>
        <w:b w:val="0"/>
        <w:caps w:val="0"/>
        <w:strike w:val="0"/>
        <w:dstrike w:val="0"/>
        <w:vanish w:val="0"/>
        <w:color w:val="000000"/>
        <w:sz w:val="16"/>
        <w:szCs w:val="16"/>
        <w:vertAlign w:val="baseline"/>
      </w:rPr>
    </w:lvl>
    <w:lvl w:ilvl="5">
      <w:start w:val="1"/>
      <w:numFmt w:val="upperRoman"/>
      <w:pStyle w:val="ListaDD6"/>
      <w:lvlText w:val="(%6)"/>
      <w:lvlJc w:val="left"/>
      <w:pPr>
        <w:tabs>
          <w:tab w:val="num" w:pos="1871"/>
        </w:tabs>
        <w:ind w:left="1871" w:hanging="397"/>
      </w:pPr>
      <w:rPr>
        <w:rFonts w:ascii="Arial" w:hAnsi="Arial" w:cs="Arial" w:hint="default"/>
        <w:b w:val="0"/>
        <w:caps w:val="0"/>
        <w:strike w:val="0"/>
        <w:dstrike w:val="0"/>
        <w:vanish w:val="0"/>
        <w:color w:val="000000"/>
        <w:sz w:val="16"/>
        <w:szCs w:val="16"/>
        <w:vertAlign w:val="baseline"/>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40803EB5"/>
    <w:multiLevelType w:val="multilevel"/>
    <w:tmpl w:val="E1B479F6"/>
    <w:lvl w:ilvl="0">
      <w:start w:val="1"/>
      <w:numFmt w:val="decimal"/>
      <w:lvlRestart w:val="0"/>
      <w:lvlText w:val="%1"/>
      <w:lvlJc w:val="left"/>
      <w:pPr>
        <w:tabs>
          <w:tab w:val="num" w:pos="680"/>
        </w:tabs>
        <w:ind w:left="680" w:hanging="680"/>
      </w:pPr>
      <w:rPr>
        <w:rFonts w:ascii="Arial" w:hAnsi="Arial" w:cs="Arial" w:hint="default"/>
        <w:b/>
        <w:bCs w:val="0"/>
        <w:i w:val="0"/>
        <w:iCs w:val="0"/>
        <w:caps w:val="0"/>
        <w:smallCaps w:val="0"/>
        <w:strike w:val="0"/>
        <w:dstrike w:val="0"/>
        <w:vanish w:val="0"/>
        <w:color w:val="000000"/>
        <w:spacing w:val="0"/>
        <w:w w:val="100"/>
        <w:position w:val="0"/>
        <w:sz w:val="22"/>
        <w:szCs w:val="24"/>
        <w:u w:val="none"/>
        <w:vertAlign w:val="baseline"/>
        <w:lang w:val="pt-PT" w:eastAsia="pt-PT" w:bidi="pt-PT"/>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680"/>
        </w:tabs>
        <w:ind w:left="680" w:hanging="680"/>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1361"/>
        </w:tabs>
        <w:ind w:left="1361" w:hanging="681"/>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041"/>
        </w:tabs>
        <w:ind w:left="204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2721"/>
        </w:tabs>
        <w:ind w:left="2721" w:hanging="680"/>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090654B"/>
    <w:multiLevelType w:val="multilevel"/>
    <w:tmpl w:val="B276DE4E"/>
    <w:lvl w:ilvl="0">
      <w:start w:val="1"/>
      <w:numFmt w:val="decimal"/>
      <w:pStyle w:val="Contratos1ClausulasArtigoscol2"/>
      <w:suff w:val="nothing"/>
      <w:lvlText w:val="Article %1"/>
      <w:lvlJc w:val="left"/>
      <w:pPr>
        <w:ind w:left="0" w:firstLine="0"/>
      </w:pPr>
      <w:rPr>
        <w:rFonts w:ascii="Arial" w:hAnsi="Arial" w:cs="Arial" w:hint="default"/>
        <w:b/>
        <w:i w:val="0"/>
        <w:caps w:val="0"/>
        <w:strike w:val="0"/>
        <w:dstrike w:val="0"/>
        <w:vanish w:val="0"/>
        <w:sz w:val="20"/>
        <w:vertAlign w:val="baseline"/>
      </w:rPr>
    </w:lvl>
    <w:lvl w:ilvl="1">
      <w:start w:val="1"/>
      <w:numFmt w:val="ordinal"/>
      <w:pStyle w:val="Contratos2pargrafoscol2"/>
      <w:suff w:val="nothing"/>
      <w:lvlText w:val="Paragraph %2. "/>
      <w:lvlJc w:val="left"/>
      <w:pPr>
        <w:ind w:left="680" w:firstLine="0"/>
      </w:pPr>
      <w:rPr>
        <w:rFonts w:ascii="Arial" w:hAnsi="Arial" w:cs="Arial" w:hint="default"/>
        <w:b/>
        <w:i w:val="0"/>
        <w:sz w:val="20"/>
        <w:vertAlign w:val="baseline"/>
      </w:rPr>
    </w:lvl>
    <w:lvl w:ilvl="2">
      <w:start w:val="1"/>
      <w:numFmt w:val="lowerRoman"/>
      <w:pStyle w:val="Contratos3icol2"/>
      <w:lvlText w:val="(%3)"/>
      <w:lvlJc w:val="left"/>
      <w:pPr>
        <w:tabs>
          <w:tab w:val="num" w:pos="1361"/>
        </w:tabs>
        <w:ind w:left="1361" w:hanging="681"/>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0560C5F"/>
    <w:multiLevelType w:val="multilevel"/>
    <w:tmpl w:val="0D340166"/>
    <w:lvl w:ilvl="0">
      <w:start w:val="1"/>
      <w:numFmt w:val="decimal"/>
      <w:lvlRestart w:val="0"/>
      <w:lvlText w:val="%1"/>
      <w:lvlJc w:val="left"/>
      <w:pPr>
        <w:tabs>
          <w:tab w:val="num" w:pos="510"/>
        </w:tabs>
        <w:ind w:left="510" w:hanging="510"/>
      </w:pPr>
      <w:rPr>
        <w:rFonts w:ascii="Arial" w:hAnsi="Arial" w:cs="Arial" w:hint="default"/>
        <w:b/>
        <w:i w:val="0"/>
        <w:caps w:val="0"/>
        <w:strike w:val="0"/>
        <w:dstrike w:val="0"/>
        <w:vanish w:val="0"/>
        <w:color w:val="000000"/>
        <w:sz w:val="16"/>
        <w:szCs w:val="16"/>
        <w:vertAlign w:val="baseline"/>
      </w:rPr>
    </w:lvl>
    <w:lvl w:ilvl="1">
      <w:start w:val="1"/>
      <w:numFmt w:val="decimal"/>
      <w:lvlText w:val="%1.%2"/>
      <w:lvlJc w:val="left"/>
      <w:pPr>
        <w:tabs>
          <w:tab w:val="num" w:pos="510"/>
        </w:tabs>
        <w:ind w:left="510" w:hanging="510"/>
      </w:pPr>
      <w:rPr>
        <w:rFonts w:ascii="Arial" w:hAnsi="Arial" w:cs="Arial" w:hint="default"/>
        <w:b/>
        <w:i w:val="0"/>
        <w:caps w:val="0"/>
        <w:strike w:val="0"/>
        <w:dstrike w:val="0"/>
        <w:vanish w:val="0"/>
        <w:color w:val="000000"/>
        <w:sz w:val="16"/>
        <w:szCs w:val="16"/>
        <w:vertAlign w:val="baseline"/>
      </w:rPr>
    </w:lvl>
    <w:lvl w:ilvl="2">
      <w:start w:val="1"/>
      <w:numFmt w:val="decimal"/>
      <w:lvlText w:val="%1.%2.%3"/>
      <w:lvlJc w:val="left"/>
      <w:pPr>
        <w:tabs>
          <w:tab w:val="num" w:pos="510"/>
        </w:tabs>
        <w:ind w:left="510" w:hanging="510"/>
      </w:pPr>
      <w:rPr>
        <w:rFonts w:ascii="Arial" w:hAnsi="Arial" w:cs="Arial" w:hint="default"/>
        <w:b/>
        <w:i w:val="0"/>
        <w:caps w:val="0"/>
        <w:strike w:val="0"/>
        <w:dstrike w:val="0"/>
        <w:vanish w:val="0"/>
        <w:color w:val="000000"/>
        <w:sz w:val="16"/>
        <w:szCs w:val="16"/>
        <w:vertAlign w:val="baseline"/>
      </w:rPr>
    </w:lvl>
    <w:lvl w:ilvl="3">
      <w:start w:val="1"/>
      <w:numFmt w:val="lowerRoman"/>
      <w:lvlText w:val="(%4)"/>
      <w:lvlJc w:val="left"/>
      <w:pPr>
        <w:tabs>
          <w:tab w:val="num" w:pos="851"/>
        </w:tabs>
        <w:ind w:left="851" w:hanging="341"/>
      </w:pPr>
      <w:rPr>
        <w:rFonts w:ascii="Arial" w:hAnsi="Arial" w:cs="Arial" w:hint="default"/>
        <w:b w:val="0"/>
        <w:i w:val="0"/>
        <w:caps w:val="0"/>
        <w:strike w:val="0"/>
        <w:dstrike w:val="0"/>
        <w:vanish w:val="0"/>
        <w:color w:val="000000"/>
        <w:sz w:val="16"/>
        <w:szCs w:val="16"/>
        <w:vertAlign w:val="baseline"/>
      </w:rPr>
    </w:lvl>
    <w:lvl w:ilvl="4">
      <w:start w:val="1"/>
      <w:numFmt w:val="lowerLetter"/>
      <w:lvlText w:val="(%5)"/>
      <w:lvlJc w:val="left"/>
      <w:pPr>
        <w:tabs>
          <w:tab w:val="num" w:pos="2041"/>
        </w:tabs>
        <w:ind w:left="2041" w:hanging="680"/>
      </w:pPr>
      <w:rPr>
        <w:rFonts w:ascii="Arial" w:hAnsi="Arial" w:cs="Arial" w:hint="default"/>
        <w:b w:val="0"/>
        <w:i w:val="0"/>
        <w:caps w:val="0"/>
        <w:strike w:val="0"/>
        <w:dstrike w:val="0"/>
        <w:vanish w:val="0"/>
        <w:color w:val="000000"/>
        <w:sz w:val="20"/>
        <w:vertAlign w:val="baseline"/>
      </w:rPr>
    </w:lvl>
    <w:lvl w:ilvl="5">
      <w:start w:val="1"/>
      <w:numFmt w:val="upperRoman"/>
      <w:lvlText w:val="(%6)"/>
      <w:lvlJc w:val="left"/>
      <w:pPr>
        <w:tabs>
          <w:tab w:val="num" w:pos="2721"/>
        </w:tabs>
        <w:ind w:left="2721" w:hanging="680"/>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407232A"/>
    <w:multiLevelType w:val="multilevel"/>
    <w:tmpl w:val="2EBE8BD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680"/>
        </w:tabs>
        <w:ind w:left="680" w:hanging="680"/>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1361"/>
        </w:tabs>
        <w:ind w:left="1361" w:hanging="681"/>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041"/>
        </w:tabs>
        <w:ind w:left="204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2721"/>
        </w:tabs>
        <w:ind w:left="2721" w:hanging="680"/>
      </w:pPr>
      <w:rPr>
        <w:rFonts w:ascii="Arial" w:hAnsi="Arial" w:cs="Arial"/>
        <w:b w:val="0"/>
        <w:caps w:val="0"/>
        <w:strike w:val="0"/>
        <w:dstrike w:val="0"/>
        <w:vanish w:val="0"/>
        <w:color w:val="000000"/>
        <w:sz w:val="20"/>
        <w:vertAlign w:val="baseline"/>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42622E9"/>
    <w:multiLevelType w:val="multilevel"/>
    <w:tmpl w:val="CFB4C0BC"/>
    <w:lvl w:ilvl="0">
      <w:start w:val="1"/>
      <w:numFmt w:val="decimal"/>
      <w:pStyle w:val="Contratos1ClausulasArtigos"/>
      <w:suff w:val="nothing"/>
      <w:lvlText w:val="Artigo %1"/>
      <w:lvlJc w:val="left"/>
      <w:pPr>
        <w:ind w:left="0" w:firstLine="0"/>
      </w:pPr>
      <w:rPr>
        <w:rFonts w:ascii="Arial" w:hAnsi="Arial" w:cs="Arial" w:hint="default"/>
        <w:b/>
        <w:i w:val="0"/>
        <w:caps w:val="0"/>
        <w:strike w:val="0"/>
        <w:dstrike w:val="0"/>
        <w:vanish w:val="0"/>
        <w:sz w:val="20"/>
        <w:vertAlign w:val="baseline"/>
      </w:rPr>
    </w:lvl>
    <w:lvl w:ilvl="1">
      <w:start w:val="1"/>
      <w:numFmt w:val="ordinal"/>
      <w:pStyle w:val="Contratos2pargrafos"/>
      <w:suff w:val="nothing"/>
      <w:lvlText w:val="Parágrafo %2. "/>
      <w:lvlJc w:val="left"/>
      <w:pPr>
        <w:ind w:left="680" w:firstLine="0"/>
      </w:pPr>
      <w:rPr>
        <w:rFonts w:ascii="Arial" w:hAnsi="Arial" w:cs="Arial" w:hint="default"/>
        <w:b/>
        <w:i w:val="0"/>
        <w:sz w:val="20"/>
      </w:rPr>
    </w:lvl>
    <w:lvl w:ilvl="2">
      <w:start w:val="1"/>
      <w:numFmt w:val="lowerRoman"/>
      <w:pStyle w:val="Contratos3i"/>
      <w:lvlText w:val="(%3)"/>
      <w:lvlJc w:val="left"/>
      <w:pPr>
        <w:tabs>
          <w:tab w:val="num" w:pos="1361"/>
        </w:tabs>
        <w:ind w:left="1361" w:hanging="681"/>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B9F55D6"/>
    <w:multiLevelType w:val="multilevel"/>
    <w:tmpl w:val="75C6D1EA"/>
    <w:lvl w:ilvl="0">
      <w:start w:val="1"/>
      <w:numFmt w:val="decimal"/>
      <w:lvlRestart w:val="0"/>
      <w:lvlText w:val="%1"/>
      <w:lvlJc w:val="left"/>
      <w:pPr>
        <w:tabs>
          <w:tab w:val="num" w:pos="510"/>
        </w:tabs>
        <w:ind w:left="510" w:hanging="510"/>
      </w:pPr>
      <w:rPr>
        <w:rFonts w:ascii="Arial" w:hAnsi="Arial" w:cs="Arial" w:hint="default"/>
        <w:b/>
        <w:i w:val="0"/>
        <w:caps w:val="0"/>
        <w:strike w:val="0"/>
        <w:dstrike w:val="0"/>
        <w:vanish w:val="0"/>
        <w:color w:val="000000"/>
        <w:sz w:val="16"/>
        <w:szCs w:val="16"/>
        <w:vertAlign w:val="baseline"/>
      </w:rPr>
    </w:lvl>
    <w:lvl w:ilvl="1">
      <w:start w:val="1"/>
      <w:numFmt w:val="decimal"/>
      <w:lvlText w:val="%1.%2"/>
      <w:lvlJc w:val="left"/>
      <w:pPr>
        <w:tabs>
          <w:tab w:val="num" w:pos="510"/>
        </w:tabs>
        <w:ind w:left="510" w:hanging="510"/>
      </w:pPr>
      <w:rPr>
        <w:rFonts w:ascii="Arial" w:hAnsi="Arial" w:cs="Arial" w:hint="default"/>
        <w:b/>
        <w:i w:val="0"/>
        <w:caps w:val="0"/>
        <w:strike w:val="0"/>
        <w:dstrike w:val="0"/>
        <w:vanish w:val="0"/>
        <w:color w:val="000000"/>
        <w:sz w:val="16"/>
        <w:szCs w:val="16"/>
        <w:vertAlign w:val="baseline"/>
      </w:rPr>
    </w:lvl>
    <w:lvl w:ilvl="2">
      <w:start w:val="1"/>
      <w:numFmt w:val="decimal"/>
      <w:lvlText w:val="%1.%2.%3"/>
      <w:lvlJc w:val="left"/>
      <w:pPr>
        <w:tabs>
          <w:tab w:val="num" w:pos="510"/>
        </w:tabs>
        <w:ind w:left="510" w:hanging="510"/>
      </w:pPr>
      <w:rPr>
        <w:rFonts w:ascii="Arial" w:hAnsi="Arial" w:cs="Arial" w:hint="default"/>
        <w:b/>
        <w:i w:val="0"/>
        <w:caps w:val="0"/>
        <w:strike w:val="0"/>
        <w:dstrike w:val="0"/>
        <w:vanish w:val="0"/>
        <w:color w:val="000000"/>
        <w:sz w:val="16"/>
        <w:szCs w:val="16"/>
        <w:vertAlign w:val="baseline"/>
      </w:rPr>
    </w:lvl>
    <w:lvl w:ilvl="3">
      <w:start w:val="1"/>
      <w:numFmt w:val="lowerRoman"/>
      <w:lvlText w:val="(%4)"/>
      <w:lvlJc w:val="left"/>
      <w:pPr>
        <w:tabs>
          <w:tab w:val="num" w:pos="851"/>
        </w:tabs>
        <w:ind w:left="851" w:hanging="341"/>
      </w:pPr>
      <w:rPr>
        <w:rFonts w:ascii="Arial" w:hAnsi="Arial" w:cs="Arial" w:hint="default"/>
        <w:b w:val="0"/>
        <w:i w:val="0"/>
        <w:caps w:val="0"/>
        <w:strike w:val="0"/>
        <w:dstrike w:val="0"/>
        <w:vanish w:val="0"/>
        <w:color w:val="000000"/>
        <w:sz w:val="16"/>
        <w:szCs w:val="16"/>
        <w:vertAlign w:val="baseline"/>
      </w:rPr>
    </w:lvl>
    <w:lvl w:ilvl="4">
      <w:start w:val="1"/>
      <w:numFmt w:val="lowerLetter"/>
      <w:lvlText w:val="(%5)"/>
      <w:lvlJc w:val="left"/>
      <w:pPr>
        <w:tabs>
          <w:tab w:val="num" w:pos="2041"/>
        </w:tabs>
        <w:ind w:left="2041" w:hanging="680"/>
      </w:pPr>
      <w:rPr>
        <w:rFonts w:ascii="Arial" w:hAnsi="Arial" w:cs="Arial" w:hint="default"/>
        <w:b w:val="0"/>
        <w:i w:val="0"/>
        <w:caps w:val="0"/>
        <w:strike w:val="0"/>
        <w:dstrike w:val="0"/>
        <w:vanish w:val="0"/>
        <w:color w:val="000000"/>
        <w:sz w:val="20"/>
        <w:vertAlign w:val="baseline"/>
      </w:rPr>
    </w:lvl>
    <w:lvl w:ilvl="5">
      <w:start w:val="1"/>
      <w:numFmt w:val="upperRoman"/>
      <w:lvlText w:val="(%6)"/>
      <w:lvlJc w:val="left"/>
      <w:pPr>
        <w:tabs>
          <w:tab w:val="num" w:pos="2721"/>
        </w:tabs>
        <w:ind w:left="2721" w:hanging="680"/>
      </w:pPr>
      <w:rPr>
        <w:rFonts w:ascii="Arial" w:hAnsi="Arial" w:cs="Arial" w:hint="default"/>
        <w:b w:val="0"/>
        <w:i w:val="0"/>
        <w:caps w:val="0"/>
        <w:strike w:val="0"/>
        <w:dstrike w:val="0"/>
        <w:vanish w:val="0"/>
        <w:color w:val="000000"/>
        <w:sz w:val="20"/>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8247770">
    <w:abstractNumId w:val="5"/>
  </w:num>
  <w:num w:numId="2" w16cid:durableId="1064791608">
    <w:abstractNumId w:val="2"/>
  </w:num>
  <w:num w:numId="3" w16cid:durableId="249436012">
    <w:abstractNumId w:val="5"/>
  </w:num>
  <w:num w:numId="4" w16cid:durableId="1895390811">
    <w:abstractNumId w:val="2"/>
  </w:num>
  <w:num w:numId="5" w16cid:durableId="1584946100">
    <w:abstractNumId w:val="5"/>
  </w:num>
  <w:num w:numId="6" w16cid:durableId="1925608196">
    <w:abstractNumId w:val="2"/>
  </w:num>
  <w:num w:numId="7" w16cid:durableId="168059565">
    <w:abstractNumId w:val="0"/>
  </w:num>
  <w:num w:numId="8" w16cid:durableId="1532113878">
    <w:abstractNumId w:val="0"/>
  </w:num>
  <w:num w:numId="9" w16cid:durableId="2027126577">
    <w:abstractNumId w:val="0"/>
  </w:num>
  <w:num w:numId="10" w16cid:durableId="1727143770">
    <w:abstractNumId w:val="0"/>
  </w:num>
  <w:num w:numId="11" w16cid:durableId="1024212825">
    <w:abstractNumId w:val="0"/>
  </w:num>
  <w:num w:numId="12" w16cid:durableId="374935879">
    <w:abstractNumId w:val="0"/>
  </w:num>
  <w:num w:numId="13" w16cid:durableId="229389807">
    <w:abstractNumId w:val="0"/>
  </w:num>
  <w:num w:numId="14" w16cid:durableId="697200590">
    <w:abstractNumId w:val="0"/>
  </w:num>
  <w:num w:numId="15" w16cid:durableId="59520440">
    <w:abstractNumId w:val="0"/>
  </w:num>
  <w:num w:numId="16" w16cid:durableId="996106996">
    <w:abstractNumId w:val="0"/>
  </w:num>
  <w:num w:numId="17" w16cid:durableId="455683258">
    <w:abstractNumId w:val="0"/>
  </w:num>
  <w:num w:numId="18" w16cid:durableId="329523708">
    <w:abstractNumId w:val="0"/>
  </w:num>
  <w:num w:numId="19" w16cid:durableId="339160724">
    <w:abstractNumId w:val="0"/>
  </w:num>
  <w:num w:numId="20" w16cid:durableId="1861551292">
    <w:abstractNumId w:val="0"/>
  </w:num>
  <w:num w:numId="21" w16cid:durableId="1941059968">
    <w:abstractNumId w:val="0"/>
  </w:num>
  <w:num w:numId="22" w16cid:durableId="340593561">
    <w:abstractNumId w:val="0"/>
  </w:num>
  <w:num w:numId="23" w16cid:durableId="409933536">
    <w:abstractNumId w:val="0"/>
  </w:num>
  <w:num w:numId="24" w16cid:durableId="1164585508">
    <w:abstractNumId w:val="0"/>
  </w:num>
  <w:num w:numId="25" w16cid:durableId="285817612">
    <w:abstractNumId w:val="3"/>
  </w:num>
  <w:num w:numId="26" w16cid:durableId="1821188706">
    <w:abstractNumId w:val="6"/>
  </w:num>
  <w:num w:numId="27" w16cid:durableId="1768623239">
    <w:abstractNumId w:val="3"/>
  </w:num>
  <w:num w:numId="28" w16cid:durableId="331570396">
    <w:abstractNumId w:val="6"/>
  </w:num>
  <w:num w:numId="29" w16cid:durableId="909002072">
    <w:abstractNumId w:val="3"/>
  </w:num>
  <w:num w:numId="30" w16cid:durableId="1782990753">
    <w:abstractNumId w:val="6"/>
  </w:num>
  <w:num w:numId="31" w16cid:durableId="624700691">
    <w:abstractNumId w:val="3"/>
  </w:num>
  <w:num w:numId="32" w16cid:durableId="1327243676">
    <w:abstractNumId w:val="6"/>
  </w:num>
  <w:num w:numId="33" w16cid:durableId="18432222">
    <w:abstractNumId w:val="3"/>
  </w:num>
  <w:num w:numId="34" w16cid:durableId="1239949247">
    <w:abstractNumId w:val="6"/>
  </w:num>
  <w:num w:numId="35" w16cid:durableId="2143765483">
    <w:abstractNumId w:val="3"/>
  </w:num>
  <w:num w:numId="36" w16cid:durableId="1819028422">
    <w:abstractNumId w:val="6"/>
  </w:num>
  <w:num w:numId="37" w16cid:durableId="625158936">
    <w:abstractNumId w:val="1"/>
  </w:num>
  <w:num w:numId="38" w16cid:durableId="1411272556">
    <w:abstractNumId w:val="4"/>
  </w:num>
  <w:num w:numId="39" w16cid:durableId="689722559">
    <w:abstractNumId w:val="1"/>
  </w:num>
  <w:num w:numId="40" w16cid:durableId="209462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9A"/>
    <w:rsid w:val="000004BB"/>
    <w:rsid w:val="00001CDB"/>
    <w:rsid w:val="00012230"/>
    <w:rsid w:val="000148E2"/>
    <w:rsid w:val="000237C7"/>
    <w:rsid w:val="000320A9"/>
    <w:rsid w:val="000344EB"/>
    <w:rsid w:val="0003591D"/>
    <w:rsid w:val="00046A20"/>
    <w:rsid w:val="00046FC1"/>
    <w:rsid w:val="00060386"/>
    <w:rsid w:val="00060752"/>
    <w:rsid w:val="00063C1D"/>
    <w:rsid w:val="000861A3"/>
    <w:rsid w:val="0009057E"/>
    <w:rsid w:val="00090BB0"/>
    <w:rsid w:val="00093367"/>
    <w:rsid w:val="00093462"/>
    <w:rsid w:val="000A0AE0"/>
    <w:rsid w:val="000A68DC"/>
    <w:rsid w:val="000D0BE2"/>
    <w:rsid w:val="000D3AB4"/>
    <w:rsid w:val="000D4BEB"/>
    <w:rsid w:val="000D6F3E"/>
    <w:rsid w:val="000E0F00"/>
    <w:rsid w:val="000F2F4A"/>
    <w:rsid w:val="000F6BFD"/>
    <w:rsid w:val="000F79CF"/>
    <w:rsid w:val="00120D9A"/>
    <w:rsid w:val="0014547D"/>
    <w:rsid w:val="00151B3C"/>
    <w:rsid w:val="00157E7C"/>
    <w:rsid w:val="001623E5"/>
    <w:rsid w:val="001730A3"/>
    <w:rsid w:val="00185727"/>
    <w:rsid w:val="001867FA"/>
    <w:rsid w:val="001A10C3"/>
    <w:rsid w:val="001A4D88"/>
    <w:rsid w:val="001C023C"/>
    <w:rsid w:val="001C2EEB"/>
    <w:rsid w:val="001C555E"/>
    <w:rsid w:val="001C7D7A"/>
    <w:rsid w:val="0020697F"/>
    <w:rsid w:val="00207A41"/>
    <w:rsid w:val="00223033"/>
    <w:rsid w:val="00232A7C"/>
    <w:rsid w:val="00257E6B"/>
    <w:rsid w:val="00262071"/>
    <w:rsid w:val="0026529E"/>
    <w:rsid w:val="002937D6"/>
    <w:rsid w:val="002A551D"/>
    <w:rsid w:val="002B48EE"/>
    <w:rsid w:val="002C6A87"/>
    <w:rsid w:val="002E1106"/>
    <w:rsid w:val="002E13E6"/>
    <w:rsid w:val="002E553D"/>
    <w:rsid w:val="002F1168"/>
    <w:rsid w:val="002F28D0"/>
    <w:rsid w:val="002F2B42"/>
    <w:rsid w:val="002F4E3F"/>
    <w:rsid w:val="0031039F"/>
    <w:rsid w:val="00320998"/>
    <w:rsid w:val="0033041C"/>
    <w:rsid w:val="003870B8"/>
    <w:rsid w:val="003947B4"/>
    <w:rsid w:val="00395503"/>
    <w:rsid w:val="003B45E7"/>
    <w:rsid w:val="003E22A8"/>
    <w:rsid w:val="003F1319"/>
    <w:rsid w:val="00404965"/>
    <w:rsid w:val="00421A55"/>
    <w:rsid w:val="0042567C"/>
    <w:rsid w:val="0043506E"/>
    <w:rsid w:val="004439D9"/>
    <w:rsid w:val="00452488"/>
    <w:rsid w:val="0045795B"/>
    <w:rsid w:val="00474046"/>
    <w:rsid w:val="004846A4"/>
    <w:rsid w:val="00485EF6"/>
    <w:rsid w:val="00486D17"/>
    <w:rsid w:val="004A52F0"/>
    <w:rsid w:val="004B1503"/>
    <w:rsid w:val="004B58D0"/>
    <w:rsid w:val="004C00E9"/>
    <w:rsid w:val="004C2DF5"/>
    <w:rsid w:val="004D0550"/>
    <w:rsid w:val="004D4818"/>
    <w:rsid w:val="004E494B"/>
    <w:rsid w:val="004F307F"/>
    <w:rsid w:val="004F6084"/>
    <w:rsid w:val="004F6172"/>
    <w:rsid w:val="00501DBE"/>
    <w:rsid w:val="00515A15"/>
    <w:rsid w:val="00517DCA"/>
    <w:rsid w:val="00523635"/>
    <w:rsid w:val="00525423"/>
    <w:rsid w:val="00532F3A"/>
    <w:rsid w:val="00550A57"/>
    <w:rsid w:val="00551FAD"/>
    <w:rsid w:val="0056243F"/>
    <w:rsid w:val="005667A6"/>
    <w:rsid w:val="00577AB8"/>
    <w:rsid w:val="005804C0"/>
    <w:rsid w:val="005855EE"/>
    <w:rsid w:val="00595373"/>
    <w:rsid w:val="005A0C59"/>
    <w:rsid w:val="005A48D2"/>
    <w:rsid w:val="005A6190"/>
    <w:rsid w:val="005D2842"/>
    <w:rsid w:val="005D2AED"/>
    <w:rsid w:val="005D300E"/>
    <w:rsid w:val="005E1E18"/>
    <w:rsid w:val="00611A0E"/>
    <w:rsid w:val="0061543A"/>
    <w:rsid w:val="0062094A"/>
    <w:rsid w:val="0063162E"/>
    <w:rsid w:val="00641550"/>
    <w:rsid w:val="006419F7"/>
    <w:rsid w:val="00645213"/>
    <w:rsid w:val="00660C07"/>
    <w:rsid w:val="00673D12"/>
    <w:rsid w:val="00677A77"/>
    <w:rsid w:val="006900DD"/>
    <w:rsid w:val="00692604"/>
    <w:rsid w:val="006B28A7"/>
    <w:rsid w:val="006C79FA"/>
    <w:rsid w:val="006E3BE0"/>
    <w:rsid w:val="0074373D"/>
    <w:rsid w:val="0077630A"/>
    <w:rsid w:val="007937EA"/>
    <w:rsid w:val="007A7652"/>
    <w:rsid w:val="007C4AFF"/>
    <w:rsid w:val="007D0924"/>
    <w:rsid w:val="007F0EAE"/>
    <w:rsid w:val="007F3498"/>
    <w:rsid w:val="00801BF0"/>
    <w:rsid w:val="00824AA6"/>
    <w:rsid w:val="008278BE"/>
    <w:rsid w:val="00836D49"/>
    <w:rsid w:val="00836F64"/>
    <w:rsid w:val="00842B6C"/>
    <w:rsid w:val="00854FFC"/>
    <w:rsid w:val="008550B8"/>
    <w:rsid w:val="00865349"/>
    <w:rsid w:val="00867FCE"/>
    <w:rsid w:val="0088644C"/>
    <w:rsid w:val="00893E13"/>
    <w:rsid w:val="00894863"/>
    <w:rsid w:val="008A33D5"/>
    <w:rsid w:val="008B4C5A"/>
    <w:rsid w:val="008B50A5"/>
    <w:rsid w:val="008D1E25"/>
    <w:rsid w:val="008D7AD1"/>
    <w:rsid w:val="008E2455"/>
    <w:rsid w:val="008E5FA1"/>
    <w:rsid w:val="008F19F8"/>
    <w:rsid w:val="00913786"/>
    <w:rsid w:val="00913A53"/>
    <w:rsid w:val="00914626"/>
    <w:rsid w:val="009163A5"/>
    <w:rsid w:val="009167C9"/>
    <w:rsid w:val="00917B77"/>
    <w:rsid w:val="009223D9"/>
    <w:rsid w:val="00926E61"/>
    <w:rsid w:val="009356F9"/>
    <w:rsid w:val="00940EA8"/>
    <w:rsid w:val="00984015"/>
    <w:rsid w:val="009840C8"/>
    <w:rsid w:val="00984DED"/>
    <w:rsid w:val="009912BA"/>
    <w:rsid w:val="009956A6"/>
    <w:rsid w:val="009A121B"/>
    <w:rsid w:val="009A3096"/>
    <w:rsid w:val="009B02CF"/>
    <w:rsid w:val="009C661F"/>
    <w:rsid w:val="009D283A"/>
    <w:rsid w:val="009E4211"/>
    <w:rsid w:val="009E6F9B"/>
    <w:rsid w:val="009F0499"/>
    <w:rsid w:val="009F45F9"/>
    <w:rsid w:val="00A20742"/>
    <w:rsid w:val="00A21AF2"/>
    <w:rsid w:val="00A270DE"/>
    <w:rsid w:val="00A339E7"/>
    <w:rsid w:val="00A3761A"/>
    <w:rsid w:val="00A452C5"/>
    <w:rsid w:val="00A563A0"/>
    <w:rsid w:val="00A8096C"/>
    <w:rsid w:val="00AA01AB"/>
    <w:rsid w:val="00AA17A5"/>
    <w:rsid w:val="00AA1E07"/>
    <w:rsid w:val="00AA5A18"/>
    <w:rsid w:val="00AB13B6"/>
    <w:rsid w:val="00AC6D69"/>
    <w:rsid w:val="00AC72F5"/>
    <w:rsid w:val="00AD4CAD"/>
    <w:rsid w:val="00AE1809"/>
    <w:rsid w:val="00AE4356"/>
    <w:rsid w:val="00AF123F"/>
    <w:rsid w:val="00B06AB6"/>
    <w:rsid w:val="00B07184"/>
    <w:rsid w:val="00B1671B"/>
    <w:rsid w:val="00B214C6"/>
    <w:rsid w:val="00B2689C"/>
    <w:rsid w:val="00B40B6D"/>
    <w:rsid w:val="00B40F9C"/>
    <w:rsid w:val="00B41C57"/>
    <w:rsid w:val="00B41D83"/>
    <w:rsid w:val="00B4449F"/>
    <w:rsid w:val="00B45FC2"/>
    <w:rsid w:val="00B615C0"/>
    <w:rsid w:val="00B651C6"/>
    <w:rsid w:val="00B651F8"/>
    <w:rsid w:val="00B82453"/>
    <w:rsid w:val="00B83206"/>
    <w:rsid w:val="00B936FD"/>
    <w:rsid w:val="00B9732A"/>
    <w:rsid w:val="00BA4DD6"/>
    <w:rsid w:val="00BB7280"/>
    <w:rsid w:val="00BC0E1C"/>
    <w:rsid w:val="00BF74C5"/>
    <w:rsid w:val="00C0054B"/>
    <w:rsid w:val="00C00647"/>
    <w:rsid w:val="00C10065"/>
    <w:rsid w:val="00C1794C"/>
    <w:rsid w:val="00C17BAF"/>
    <w:rsid w:val="00C238D0"/>
    <w:rsid w:val="00C240E0"/>
    <w:rsid w:val="00C25421"/>
    <w:rsid w:val="00C53B10"/>
    <w:rsid w:val="00C558AD"/>
    <w:rsid w:val="00C55D98"/>
    <w:rsid w:val="00C6302C"/>
    <w:rsid w:val="00C74B3C"/>
    <w:rsid w:val="00C77B07"/>
    <w:rsid w:val="00C86511"/>
    <w:rsid w:val="00C943F2"/>
    <w:rsid w:val="00CB1462"/>
    <w:rsid w:val="00CB500C"/>
    <w:rsid w:val="00CC4F12"/>
    <w:rsid w:val="00CF145C"/>
    <w:rsid w:val="00CF6491"/>
    <w:rsid w:val="00D122D8"/>
    <w:rsid w:val="00D153AB"/>
    <w:rsid w:val="00D3390A"/>
    <w:rsid w:val="00D53514"/>
    <w:rsid w:val="00D65C88"/>
    <w:rsid w:val="00D679C7"/>
    <w:rsid w:val="00D9305F"/>
    <w:rsid w:val="00DA6456"/>
    <w:rsid w:val="00DD51A2"/>
    <w:rsid w:val="00DD627B"/>
    <w:rsid w:val="00DF6881"/>
    <w:rsid w:val="00E07412"/>
    <w:rsid w:val="00E134AD"/>
    <w:rsid w:val="00E2765F"/>
    <w:rsid w:val="00E320F3"/>
    <w:rsid w:val="00E32CF7"/>
    <w:rsid w:val="00E5630E"/>
    <w:rsid w:val="00E67709"/>
    <w:rsid w:val="00E817F1"/>
    <w:rsid w:val="00ED1CCA"/>
    <w:rsid w:val="00EE4802"/>
    <w:rsid w:val="00EF0E6C"/>
    <w:rsid w:val="00EF649F"/>
    <w:rsid w:val="00EF7789"/>
    <w:rsid w:val="00F4591B"/>
    <w:rsid w:val="00F52937"/>
    <w:rsid w:val="00F52958"/>
    <w:rsid w:val="00F631CB"/>
    <w:rsid w:val="00F82EF6"/>
    <w:rsid w:val="00F85658"/>
    <w:rsid w:val="00F87386"/>
    <w:rsid w:val="00FA2D07"/>
    <w:rsid w:val="00FB2608"/>
    <w:rsid w:val="00FC08CF"/>
    <w:rsid w:val="00FC5231"/>
    <w:rsid w:val="00FC5C44"/>
    <w:rsid w:val="00FD2B82"/>
    <w:rsid w:val="00FE0049"/>
    <w:rsid w:val="00FE612E"/>
    <w:rsid w:val="00FE7E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25F33"/>
  <w15:chartTrackingRefBased/>
  <w15:docId w15:val="{D6354721-5BE7-4B7F-93A1-5B6FF7B1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9A"/>
    <w:pPr>
      <w:spacing w:after="0" w:line="288" w:lineRule="auto"/>
    </w:pPr>
    <w:rPr>
      <w:rFonts w:ascii="Myriad Pro Light" w:eastAsia="Times New Roman" w:hAnsi="Myriad Pro Light" w:cs="Myriad Pro Light"/>
      <w:sz w:val="16"/>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tos1ClausulasArtigos">
    <w:name w:val="Contratos 1_ClausulasArtigos"/>
    <w:basedOn w:val="Normal"/>
    <w:qFormat/>
    <w:rsid w:val="00A21AF2"/>
    <w:pPr>
      <w:numPr>
        <w:numId w:val="5"/>
      </w:numPr>
      <w:tabs>
        <w:tab w:val="num" w:pos="360"/>
      </w:tabs>
      <w:spacing w:after="140" w:line="290" w:lineRule="auto"/>
      <w:jc w:val="both"/>
    </w:pPr>
    <w:rPr>
      <w:rFonts w:ascii="Arial" w:hAnsi="Arial" w:cs="Times New Roman"/>
      <w:sz w:val="20"/>
      <w:szCs w:val="24"/>
      <w:lang w:eastAsia="en-US"/>
    </w:rPr>
  </w:style>
  <w:style w:type="paragraph" w:customStyle="1" w:styleId="Contratos1ClausulasArtigoscol2">
    <w:name w:val="Contratos 1_ClausulasArtigos_col2"/>
    <w:basedOn w:val="Normal"/>
    <w:qFormat/>
    <w:rsid w:val="00A21AF2"/>
    <w:pPr>
      <w:numPr>
        <w:numId w:val="6"/>
      </w:numPr>
      <w:tabs>
        <w:tab w:val="num" w:pos="360"/>
      </w:tabs>
      <w:spacing w:after="140" w:line="290" w:lineRule="auto"/>
      <w:jc w:val="both"/>
    </w:pPr>
    <w:rPr>
      <w:rFonts w:ascii="Arial" w:hAnsi="Arial" w:cs="Times New Roman"/>
      <w:sz w:val="20"/>
      <w:szCs w:val="24"/>
      <w:lang w:eastAsia="en-US"/>
    </w:rPr>
  </w:style>
  <w:style w:type="paragraph" w:customStyle="1" w:styleId="Contratos2pargrafos">
    <w:name w:val="Contratos 2_parágrafos"/>
    <w:basedOn w:val="Normal"/>
    <w:qFormat/>
    <w:rsid w:val="00A21AF2"/>
    <w:pPr>
      <w:numPr>
        <w:ilvl w:val="1"/>
        <w:numId w:val="5"/>
      </w:numPr>
      <w:spacing w:after="140" w:line="290" w:lineRule="auto"/>
      <w:jc w:val="both"/>
    </w:pPr>
    <w:rPr>
      <w:rFonts w:ascii="Arial" w:hAnsi="Arial" w:cs="Times New Roman"/>
      <w:sz w:val="20"/>
      <w:szCs w:val="24"/>
      <w:lang w:eastAsia="en-US"/>
    </w:rPr>
  </w:style>
  <w:style w:type="paragraph" w:customStyle="1" w:styleId="Contratos2pargrafoscol2">
    <w:name w:val="Contratos 2_parágrafos_col2"/>
    <w:basedOn w:val="Normal"/>
    <w:qFormat/>
    <w:rsid w:val="00A21AF2"/>
    <w:pPr>
      <w:numPr>
        <w:ilvl w:val="1"/>
        <w:numId w:val="6"/>
      </w:numPr>
      <w:spacing w:after="140" w:line="290" w:lineRule="auto"/>
      <w:jc w:val="both"/>
    </w:pPr>
    <w:rPr>
      <w:rFonts w:ascii="Arial" w:hAnsi="Arial" w:cs="Times New Roman"/>
      <w:sz w:val="20"/>
      <w:szCs w:val="24"/>
      <w:lang w:val="en-US" w:eastAsia="en-US"/>
    </w:rPr>
  </w:style>
  <w:style w:type="paragraph" w:customStyle="1" w:styleId="Contratos3i">
    <w:name w:val="Contratos 3_(i)"/>
    <w:basedOn w:val="Normal"/>
    <w:qFormat/>
    <w:rsid w:val="00A21AF2"/>
    <w:pPr>
      <w:numPr>
        <w:ilvl w:val="2"/>
        <w:numId w:val="5"/>
      </w:numPr>
      <w:spacing w:after="140" w:line="290" w:lineRule="auto"/>
      <w:jc w:val="both"/>
    </w:pPr>
    <w:rPr>
      <w:rFonts w:ascii="Arial" w:hAnsi="Arial" w:cs="Times New Roman"/>
      <w:sz w:val="20"/>
      <w:szCs w:val="24"/>
      <w:lang w:eastAsia="en-US"/>
    </w:rPr>
  </w:style>
  <w:style w:type="paragraph" w:customStyle="1" w:styleId="Contratos3icol2">
    <w:name w:val="Contratos 3_(i)_col2"/>
    <w:basedOn w:val="Normal"/>
    <w:qFormat/>
    <w:rsid w:val="00A21AF2"/>
    <w:pPr>
      <w:numPr>
        <w:ilvl w:val="2"/>
        <w:numId w:val="6"/>
      </w:numPr>
      <w:spacing w:after="140" w:line="290" w:lineRule="auto"/>
      <w:jc w:val="both"/>
    </w:pPr>
    <w:rPr>
      <w:rFonts w:ascii="Arial" w:hAnsi="Arial" w:cs="Times New Roman"/>
      <w:sz w:val="20"/>
      <w:szCs w:val="24"/>
      <w:lang w:eastAsia="en-US"/>
    </w:rPr>
  </w:style>
  <w:style w:type="paragraph" w:customStyle="1" w:styleId="Contratospargrafonico">
    <w:name w:val="Contratos_parágrafo único"/>
    <w:basedOn w:val="Normal"/>
    <w:link w:val="ContratospargrafonicoChar"/>
    <w:qFormat/>
    <w:rsid w:val="00A21AF2"/>
    <w:pPr>
      <w:spacing w:after="140" w:line="290" w:lineRule="auto"/>
      <w:ind w:left="680"/>
      <w:jc w:val="both"/>
    </w:pPr>
    <w:rPr>
      <w:rFonts w:ascii="Arial" w:hAnsi="Arial" w:cs="Times New Roman"/>
      <w:kern w:val="20"/>
      <w:sz w:val="20"/>
      <w:szCs w:val="24"/>
      <w:lang w:eastAsia="en-US"/>
    </w:rPr>
  </w:style>
  <w:style w:type="character" w:customStyle="1" w:styleId="ContratospargrafonicoChar">
    <w:name w:val="Contratos_parágrafo único Char"/>
    <w:basedOn w:val="DefaultParagraphFont"/>
    <w:link w:val="Contratospargrafonico"/>
    <w:rsid w:val="00A21AF2"/>
    <w:rPr>
      <w:rFonts w:ascii="Arial" w:eastAsia="Times New Roman" w:hAnsi="Arial" w:cs="Times New Roman"/>
      <w:kern w:val="20"/>
      <w:sz w:val="20"/>
      <w:szCs w:val="24"/>
    </w:rPr>
  </w:style>
  <w:style w:type="table" w:styleId="GridTable7Colorful">
    <w:name w:val="Grid Table 7 Colorful"/>
    <w:aliases w:val="Tabela Lefosse"/>
    <w:basedOn w:val="TableNormal"/>
    <w:uiPriority w:val="52"/>
    <w:rsid w:val="000D6F3E"/>
    <w:pPr>
      <w:spacing w:after="0" w:line="240" w:lineRule="auto"/>
    </w:pPr>
    <w:rPr>
      <w:rFonts w:ascii="Arial" w:hAnsi="Arial"/>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auto"/>
    </w:tcPr>
    <w:tblStylePr w:type="firstRow">
      <w:rPr>
        <w:rFonts w:ascii="Arial" w:hAnsi="Arial"/>
        <w:b/>
        <w:bCs/>
        <w:color w:val="262827" w:themeColor="background1"/>
      </w:rPr>
      <w:tblPr/>
      <w:tcPr>
        <w:shd w:val="clear" w:color="auto" w:fill="858585" w:themeFill="accent1"/>
      </w:tcPr>
    </w:tblStylePr>
    <w:tblStylePr w:type="lastRow">
      <w:rPr>
        <w:b/>
        <w:bCs/>
      </w:rPr>
      <w:tblPr/>
      <w:tcPr>
        <w:tcBorders>
          <w:left w:val="nil"/>
          <w:bottom w:val="nil"/>
          <w:right w:val="nil"/>
          <w:insideH w:val="nil"/>
          <w:insideV w:val="nil"/>
        </w:tcBorders>
        <w:shd w:val="clear" w:color="auto" w:fill="262827" w:themeFill="background1"/>
      </w:tcPr>
    </w:tblStylePr>
    <w:tblStylePr w:type="firstCol">
      <w:pPr>
        <w:jc w:val="right"/>
      </w:pPr>
      <w:rPr>
        <w:i/>
        <w:i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262827" w:themeFill="background1"/>
      </w:tcPr>
    </w:tblStylePr>
    <w:tblStylePr w:type="lastCol">
      <w:rPr>
        <w:i/>
        <w:i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262827" w:themeFill="background1"/>
      </w:tcPr>
    </w:tblStylePr>
    <w:tblStylePr w:type="band1Vert">
      <w:tblPr/>
      <w:tcPr>
        <w:shd w:val="clear" w:color="auto" w:fill="FFFFFF" w:themeFill="text1" w:themeFillTint="33"/>
      </w:tcPr>
    </w:tblStylePr>
    <w:tblStylePr w:type="band1Horz">
      <w:rPr>
        <w:rFonts w:ascii="Arial" w:hAnsi="Arial"/>
        <w:color w:val="auto"/>
        <w:sz w:val="20"/>
      </w:rPr>
      <w:tblPr/>
      <w:tcPr>
        <w:shd w:val="clear" w:color="auto" w:fill="AB80FF" w:themeFill="accent2"/>
      </w:tcPr>
    </w:tblStylePr>
    <w:tblStylePr w:type="band2Horz">
      <w:rPr>
        <w:color w:val="auto"/>
      </w:rPr>
      <w:tblPr/>
      <w:tcPr>
        <w:shd w:val="clear" w:color="auto" w:fill="262827" w:themeFill="background1"/>
      </w:tcPr>
    </w:tblStylePr>
    <w:tblStylePr w:type="neCell">
      <w:tblPr/>
      <w:tcPr>
        <w:tcBorders>
          <w:bottom w:val="single" w:sz="4" w:space="0" w:color="FFFFFF" w:themeColor="text1" w:themeTint="99"/>
        </w:tcBorders>
      </w:tcPr>
    </w:tblStylePr>
    <w:tblStylePr w:type="nwCell">
      <w:tblPr/>
      <w:tcPr>
        <w:tcBorders>
          <w:bottom w:val="single" w:sz="4" w:space="0" w:color="FFFFFF" w:themeColor="text1" w:themeTint="99"/>
        </w:tcBorders>
      </w:tcPr>
    </w:tblStylePr>
    <w:tblStylePr w:type="seCell">
      <w:tblPr/>
      <w:tcPr>
        <w:tcBorders>
          <w:top w:val="single" w:sz="4" w:space="0" w:color="FFFFFF" w:themeColor="text1" w:themeTint="99"/>
        </w:tcBorders>
      </w:tcPr>
    </w:tblStylePr>
    <w:tblStylePr w:type="swCell">
      <w:tblPr/>
      <w:tcPr>
        <w:tcBorders>
          <w:top w:val="single" w:sz="4" w:space="0" w:color="FFFFFF" w:themeColor="text1" w:themeTint="99"/>
        </w:tcBorders>
      </w:tcPr>
    </w:tblStylePr>
  </w:style>
  <w:style w:type="paragraph" w:customStyle="1" w:styleId="ListaDD1">
    <w:name w:val="Lista DD 1"/>
    <w:basedOn w:val="Normal"/>
    <w:rsid w:val="00854FFC"/>
    <w:pPr>
      <w:keepNext/>
      <w:numPr>
        <w:numId w:val="24"/>
      </w:numPr>
      <w:spacing w:before="60" w:after="60" w:line="240" w:lineRule="exact"/>
    </w:pPr>
    <w:rPr>
      <w:rFonts w:cs="Times New Roman"/>
      <w:b/>
      <w:lang w:eastAsia="en-GB"/>
    </w:rPr>
  </w:style>
  <w:style w:type="paragraph" w:customStyle="1" w:styleId="ListaDD2">
    <w:name w:val="Lista DD 2"/>
    <w:basedOn w:val="Normal"/>
    <w:rsid w:val="00854FFC"/>
    <w:pPr>
      <w:numPr>
        <w:ilvl w:val="1"/>
        <w:numId w:val="24"/>
      </w:numPr>
      <w:spacing w:before="60" w:after="60" w:line="240" w:lineRule="exact"/>
    </w:pPr>
    <w:rPr>
      <w:rFonts w:cs="Times New Roman"/>
      <w:b/>
      <w:lang w:eastAsia="en-GB"/>
    </w:rPr>
  </w:style>
  <w:style w:type="paragraph" w:customStyle="1" w:styleId="ListaDD3">
    <w:name w:val="Lista DD 3"/>
    <w:basedOn w:val="Normal"/>
    <w:rsid w:val="00854FFC"/>
    <w:pPr>
      <w:numPr>
        <w:ilvl w:val="2"/>
        <w:numId w:val="24"/>
      </w:numPr>
      <w:spacing w:before="60" w:after="60"/>
    </w:pPr>
    <w:rPr>
      <w:rFonts w:cs="Times New Roman"/>
      <w:i/>
      <w:lang w:eastAsia="en-GB"/>
    </w:rPr>
  </w:style>
  <w:style w:type="paragraph" w:customStyle="1" w:styleId="ListaDD4">
    <w:name w:val="Lista DD 4"/>
    <w:basedOn w:val="Normal"/>
    <w:rsid w:val="00854FFC"/>
    <w:pPr>
      <w:numPr>
        <w:ilvl w:val="3"/>
        <w:numId w:val="24"/>
      </w:numPr>
      <w:spacing w:before="60" w:after="60"/>
    </w:pPr>
    <w:rPr>
      <w:rFonts w:cs="Times New Roman"/>
      <w:i/>
      <w:lang w:eastAsia="en-GB"/>
    </w:rPr>
  </w:style>
  <w:style w:type="paragraph" w:customStyle="1" w:styleId="ListaDD5">
    <w:name w:val="Lista DD 5"/>
    <w:basedOn w:val="Normal"/>
    <w:rsid w:val="00854FFC"/>
    <w:pPr>
      <w:numPr>
        <w:ilvl w:val="4"/>
        <w:numId w:val="24"/>
      </w:numPr>
      <w:spacing w:before="60" w:after="60" w:line="240" w:lineRule="auto"/>
      <w:jc w:val="both"/>
    </w:pPr>
    <w:rPr>
      <w:rFonts w:ascii="Arial" w:hAnsi="Arial" w:cs="Times New Roman"/>
      <w:i/>
      <w:lang w:eastAsia="en-GB"/>
    </w:rPr>
  </w:style>
  <w:style w:type="paragraph" w:customStyle="1" w:styleId="ListaDD6">
    <w:name w:val="Lista DD 6"/>
    <w:basedOn w:val="Normal"/>
    <w:rsid w:val="00854FFC"/>
    <w:pPr>
      <w:numPr>
        <w:ilvl w:val="5"/>
        <w:numId w:val="24"/>
      </w:numPr>
      <w:spacing w:before="60" w:after="60"/>
    </w:pPr>
    <w:rPr>
      <w:rFonts w:cs="Times New Roman"/>
      <w:i/>
      <w:lang w:eastAsia="en-GB"/>
    </w:rPr>
  </w:style>
  <w:style w:type="paragraph" w:customStyle="1" w:styleId="ListaDDBody">
    <w:name w:val="Lista DD Body"/>
    <w:basedOn w:val="Normal"/>
    <w:qFormat/>
    <w:rsid w:val="00854FFC"/>
    <w:pPr>
      <w:spacing w:before="60" w:after="60" w:line="240" w:lineRule="auto"/>
      <w:jc w:val="both"/>
    </w:pPr>
    <w:rPr>
      <w:rFonts w:ascii="Arial" w:hAnsi="Arial" w:cs="Times New Roman"/>
      <w:i/>
      <w:lang w:val="en-GB" w:eastAsia="en-GB"/>
    </w:rPr>
  </w:style>
  <w:style w:type="paragraph" w:styleId="TOC1">
    <w:name w:val="toc 1"/>
    <w:basedOn w:val="Normal"/>
    <w:next w:val="Normal"/>
    <w:uiPriority w:val="39"/>
    <w:rsid w:val="00BF74C5"/>
    <w:pPr>
      <w:tabs>
        <w:tab w:val="right" w:leader="dot" w:pos="8732"/>
      </w:tabs>
      <w:spacing w:before="140" w:after="60" w:line="290" w:lineRule="auto"/>
      <w:ind w:left="567" w:hanging="567"/>
    </w:pPr>
    <w:rPr>
      <w:rFonts w:ascii="Arial" w:hAnsi="Arial" w:cs="Times New Roman"/>
      <w:kern w:val="20"/>
      <w:sz w:val="20"/>
      <w:szCs w:val="24"/>
      <w:lang w:val="en-GB" w:eastAsia="en-GB"/>
    </w:rPr>
  </w:style>
  <w:style w:type="paragraph" w:styleId="TOC2">
    <w:name w:val="toc 2"/>
    <w:basedOn w:val="Normal"/>
    <w:next w:val="Normal"/>
    <w:uiPriority w:val="39"/>
    <w:unhideWhenUsed/>
    <w:rsid w:val="00BF74C5"/>
    <w:pPr>
      <w:tabs>
        <w:tab w:val="right" w:leader="dot" w:pos="8732"/>
      </w:tabs>
      <w:spacing w:after="60" w:line="290" w:lineRule="auto"/>
      <w:ind w:left="1134" w:hanging="567"/>
      <w:jc w:val="both"/>
    </w:pPr>
    <w:rPr>
      <w:rFonts w:ascii="Arial" w:hAnsi="Arial" w:cs="Times New Roman"/>
      <w:noProof/>
      <w:sz w:val="20"/>
      <w:szCs w:val="24"/>
      <w:lang w:val="en-GB" w:eastAsia="en-GB"/>
    </w:rPr>
  </w:style>
  <w:style w:type="paragraph" w:styleId="TOC6">
    <w:name w:val="toc 6"/>
    <w:basedOn w:val="Normal"/>
    <w:next w:val="Normal"/>
    <w:autoRedefine/>
    <w:uiPriority w:val="39"/>
    <w:unhideWhenUsed/>
    <w:rsid w:val="00BF74C5"/>
    <w:pPr>
      <w:keepLines/>
      <w:spacing w:after="60" w:line="290" w:lineRule="auto"/>
      <w:ind w:left="2041" w:hanging="2041"/>
      <w:outlineLvl w:val="5"/>
    </w:pPr>
    <w:rPr>
      <w:rFonts w:ascii="Arial" w:hAnsi="Arial" w:cs="Times New Roman"/>
      <w:sz w:val="20"/>
      <w:szCs w:val="24"/>
      <w:lang w:val="en-GB" w:eastAsia="en-GB"/>
    </w:rPr>
  </w:style>
  <w:style w:type="paragraph" w:styleId="TOC3">
    <w:name w:val="toc 3"/>
    <w:basedOn w:val="Normal"/>
    <w:next w:val="Normal"/>
    <w:autoRedefine/>
    <w:uiPriority w:val="39"/>
    <w:rsid w:val="005A0C59"/>
    <w:pPr>
      <w:tabs>
        <w:tab w:val="right" w:leader="dot" w:pos="8732"/>
      </w:tabs>
      <w:spacing w:after="120" w:line="290" w:lineRule="auto"/>
      <w:ind w:left="1134" w:hanging="1134"/>
    </w:pPr>
    <w:rPr>
      <w:rFonts w:ascii="Arial" w:eastAsiaTheme="minorEastAsia" w:hAnsi="Arial" w:cs="Times New Roman"/>
      <w:noProof/>
      <w:sz w:val="20"/>
      <w:lang w:val="en-GB" w:eastAsia="en-GB"/>
    </w:rPr>
  </w:style>
  <w:style w:type="paragraph" w:styleId="TOC4">
    <w:name w:val="toc 4"/>
    <w:basedOn w:val="Normal"/>
    <w:next w:val="Normal"/>
    <w:autoRedefine/>
    <w:uiPriority w:val="39"/>
    <w:unhideWhenUsed/>
    <w:rsid w:val="005A0C59"/>
    <w:pPr>
      <w:tabs>
        <w:tab w:val="right" w:leader="dot" w:pos="8732"/>
      </w:tabs>
      <w:spacing w:after="120" w:line="290" w:lineRule="auto"/>
      <w:ind w:left="1134" w:hanging="1134"/>
      <w:jc w:val="both"/>
    </w:pPr>
    <w:rPr>
      <w:rFonts w:ascii="Arial" w:eastAsiaTheme="minorEastAsia" w:hAnsi="Arial" w:cs="Times New Roman"/>
      <w:sz w:val="20"/>
      <w:lang w:val="en-GB" w:eastAsia="en-GB"/>
    </w:rPr>
  </w:style>
  <w:style w:type="paragraph" w:customStyle="1" w:styleId="FootnoteTextcont">
    <w:name w:val="Footnote Text cont"/>
    <w:basedOn w:val="Normal"/>
    <w:rsid w:val="001730A3"/>
    <w:pPr>
      <w:ind w:left="227"/>
    </w:pPr>
    <w:rPr>
      <w:rFonts w:cs="Times New Roman"/>
      <w:lang w:eastAsia="en-GB"/>
    </w:rPr>
  </w:style>
  <w:style w:type="paragraph" w:styleId="FootnoteText">
    <w:name w:val="footnote text"/>
    <w:basedOn w:val="Normal"/>
    <w:next w:val="FootnoteTextcont"/>
    <w:link w:val="FootnoteTextChar"/>
    <w:uiPriority w:val="99"/>
    <w:unhideWhenUsed/>
    <w:rsid w:val="001730A3"/>
    <w:pPr>
      <w:tabs>
        <w:tab w:val="left" w:pos="227"/>
      </w:tabs>
      <w:spacing w:line="240" w:lineRule="auto"/>
      <w:ind w:left="227" w:hanging="227"/>
      <w:jc w:val="both"/>
    </w:pPr>
    <w:rPr>
      <w:rFonts w:ascii="Arial" w:eastAsiaTheme="minorHAnsi" w:hAnsi="Arial" w:cs="Times New Roman"/>
      <w:lang w:val="en-GB" w:eastAsia="en-GB"/>
    </w:rPr>
  </w:style>
  <w:style w:type="character" w:customStyle="1" w:styleId="FootnoteTextChar">
    <w:name w:val="Footnote Text Char"/>
    <w:basedOn w:val="DefaultParagraphFont"/>
    <w:link w:val="FootnoteText"/>
    <w:uiPriority w:val="99"/>
    <w:rsid w:val="001730A3"/>
    <w:rPr>
      <w:rFonts w:ascii="Arial" w:hAnsi="Arial" w:cs="Times New Roman"/>
      <w:sz w:val="16"/>
      <w:szCs w:val="20"/>
      <w:lang w:val="en-GB" w:eastAsia="en-GB"/>
    </w:rPr>
  </w:style>
  <w:style w:type="paragraph" w:styleId="Header">
    <w:name w:val="header"/>
    <w:basedOn w:val="Normal"/>
    <w:link w:val="HeaderChar"/>
    <w:uiPriority w:val="99"/>
    <w:unhideWhenUsed/>
    <w:rsid w:val="000A68DC"/>
    <w:pPr>
      <w:tabs>
        <w:tab w:val="center" w:pos="4252"/>
        <w:tab w:val="right" w:pos="8504"/>
      </w:tabs>
      <w:spacing w:line="240" w:lineRule="auto"/>
      <w:jc w:val="both"/>
    </w:pPr>
    <w:rPr>
      <w:rFonts w:ascii="Arial" w:eastAsiaTheme="minorHAnsi" w:hAnsi="Arial" w:cstheme="minorBidi"/>
      <w:sz w:val="20"/>
      <w:szCs w:val="22"/>
      <w:lang w:eastAsia="en-US"/>
    </w:rPr>
  </w:style>
  <w:style w:type="character" w:customStyle="1" w:styleId="HeaderChar">
    <w:name w:val="Header Char"/>
    <w:basedOn w:val="DefaultParagraphFont"/>
    <w:link w:val="Header"/>
    <w:uiPriority w:val="99"/>
    <w:rsid w:val="000A68DC"/>
    <w:rPr>
      <w:rFonts w:ascii="Arial" w:hAnsi="Arial"/>
      <w:sz w:val="20"/>
    </w:rPr>
  </w:style>
  <w:style w:type="paragraph" w:styleId="Footer">
    <w:name w:val="footer"/>
    <w:basedOn w:val="Normal"/>
    <w:link w:val="FooterChar"/>
    <w:uiPriority w:val="99"/>
    <w:unhideWhenUsed/>
    <w:rsid w:val="000A68DC"/>
    <w:pPr>
      <w:tabs>
        <w:tab w:val="center" w:pos="4252"/>
        <w:tab w:val="right" w:pos="8504"/>
      </w:tabs>
      <w:spacing w:line="240" w:lineRule="auto"/>
      <w:jc w:val="both"/>
    </w:pPr>
    <w:rPr>
      <w:rFonts w:ascii="Arial" w:eastAsiaTheme="minorHAnsi" w:hAnsi="Arial" w:cstheme="minorBidi"/>
      <w:sz w:val="20"/>
      <w:szCs w:val="22"/>
      <w:lang w:eastAsia="en-US"/>
    </w:rPr>
  </w:style>
  <w:style w:type="character" w:customStyle="1" w:styleId="FooterChar">
    <w:name w:val="Footer Char"/>
    <w:basedOn w:val="DefaultParagraphFont"/>
    <w:link w:val="Footer"/>
    <w:uiPriority w:val="99"/>
    <w:rsid w:val="000A68DC"/>
    <w:rPr>
      <w:rFonts w:ascii="Arial" w:hAnsi="Arial"/>
      <w:sz w:val="20"/>
    </w:rPr>
  </w:style>
  <w:style w:type="paragraph" w:customStyle="1" w:styleId="Heading">
    <w:name w:val="Heading"/>
    <w:basedOn w:val="Normal"/>
    <w:rsid w:val="00001CDB"/>
    <w:pPr>
      <w:spacing w:after="140" w:line="290" w:lineRule="auto"/>
      <w:jc w:val="both"/>
    </w:pPr>
    <w:rPr>
      <w:rFonts w:ascii="Arial" w:hAnsi="Arial" w:cs="Arial"/>
      <w:b/>
      <w:bCs/>
      <w:sz w:val="22"/>
      <w:lang w:eastAsia="en-GB"/>
    </w:rPr>
  </w:style>
  <w:style w:type="character" w:customStyle="1" w:styleId="bold">
    <w:name w:val="• bold"/>
    <w:qFormat/>
    <w:rsid w:val="00120D9A"/>
    <w:rPr>
      <w:rFonts w:ascii="Source Sans Pro SemiBold" w:hAnsi="Source Sans Pro SemiBold" w:cs="Source Sans Pro SemiBold"/>
      <w:sz w:val="16"/>
      <w:lang w:val="pt-BR"/>
    </w:rPr>
  </w:style>
  <w:style w:type="character" w:customStyle="1" w:styleId="Estilodecaractere1">
    <w:name w:val="Estilo de caractere 1"/>
    <w:basedOn w:val="bold"/>
    <w:qFormat/>
    <w:rsid w:val="00120D9A"/>
    <w:rPr>
      <w:rFonts w:ascii="Source Sans Pro Light" w:hAnsi="Source Sans Pro Light" w:cs="Source Sans Pro Light"/>
      <w:sz w:val="16"/>
      <w:lang w:val="pt-BR"/>
    </w:rPr>
  </w:style>
  <w:style w:type="character" w:customStyle="1" w:styleId="TEXTO">
    <w:name w:val="TEXTO"/>
    <w:qFormat/>
    <w:rsid w:val="00120D9A"/>
    <w:rPr>
      <w:rFonts w:ascii="Myriad Pro" w:hAnsi="Myriad Pro" w:cs="Myriad Pro"/>
      <w:color w:val="0066FF"/>
      <w:u w:val="none"/>
      <w:lang w:val="pt-BR"/>
    </w:rPr>
  </w:style>
  <w:style w:type="table" w:customStyle="1" w:styleId="DefaultTable">
    <w:name w:val="Default Table"/>
    <w:qFormat/>
    <w:rsid w:val="00120D9A"/>
    <w:pPr>
      <w:spacing w:after="0" w:line="288" w:lineRule="auto"/>
    </w:pPr>
    <w:rPr>
      <w:rFonts w:ascii="Minion Pro" w:eastAsia="Times New Roman" w:hAnsi="Minion Pro" w:cs="Minion Pro"/>
      <w:sz w:val="24"/>
      <w:szCs w:val="20"/>
      <w:lang w:val="en-GB" w:eastAsia="pt-BR"/>
    </w:rPr>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paragraph" w:customStyle="1" w:styleId="Body">
    <w:name w:val="Body"/>
    <w:basedOn w:val="Normal"/>
    <w:rsid w:val="00120D9A"/>
    <w:pPr>
      <w:spacing w:after="140" w:line="290" w:lineRule="auto"/>
      <w:jc w:val="both"/>
    </w:pPr>
    <w:rPr>
      <w:rFonts w:ascii="Arial" w:hAnsi="Arial" w:cs="Arial"/>
      <w:sz w:val="20"/>
    </w:rPr>
  </w:style>
  <w:style w:type="paragraph" w:customStyle="1" w:styleId="TabHeading">
    <w:name w:val="TabHeading"/>
    <w:basedOn w:val="Normal"/>
    <w:rsid w:val="00120D9A"/>
    <w:pPr>
      <w:spacing w:before="60" w:after="60" w:line="240" w:lineRule="exact"/>
      <w:jc w:val="both"/>
    </w:pPr>
    <w:rPr>
      <w:rFonts w:ascii="Arial" w:hAnsi="Arial" w:cs="Arial"/>
      <w:b/>
      <w:sz w:val="18"/>
    </w:rPr>
  </w:style>
  <w:style w:type="paragraph" w:customStyle="1" w:styleId="TabBody">
    <w:name w:val="TabBody"/>
    <w:basedOn w:val="Normal"/>
    <w:rsid w:val="00151B3C"/>
    <w:pPr>
      <w:spacing w:before="60" w:after="60" w:line="240" w:lineRule="exact"/>
      <w:jc w:val="both"/>
    </w:pPr>
    <w:rPr>
      <w:rFonts w:ascii="Arial" w:hAnsi="Arial" w:cs="Arial"/>
      <w:sz w:val="18"/>
      <w:szCs w:val="16"/>
    </w:rPr>
  </w:style>
  <w:style w:type="paragraph" w:styleId="Revision">
    <w:name w:val="Revision"/>
    <w:hidden/>
    <w:uiPriority w:val="99"/>
    <w:semiHidden/>
    <w:rsid w:val="007D0924"/>
    <w:pPr>
      <w:spacing w:after="0" w:line="240" w:lineRule="auto"/>
    </w:pPr>
    <w:rPr>
      <w:rFonts w:ascii="Myriad Pro Light" w:eastAsia="Times New Roman" w:hAnsi="Myriad Pro Light" w:cs="Myriad Pro Light"/>
      <w:sz w:val="16"/>
      <w:szCs w:val="20"/>
      <w:lang w:eastAsia="pt-BR"/>
    </w:rPr>
  </w:style>
  <w:style w:type="character" w:styleId="Hyperlink">
    <w:name w:val="Hyperlink"/>
    <w:basedOn w:val="DefaultParagraphFont"/>
    <w:uiPriority w:val="99"/>
    <w:semiHidden/>
    <w:unhideWhenUsed/>
    <w:rsid w:val="004E494B"/>
    <w:rPr>
      <w:color w:val="2DC6EA"/>
      <w:u w:val="single"/>
    </w:rPr>
  </w:style>
  <w:style w:type="character" w:customStyle="1" w:styleId="cf01">
    <w:name w:val="cf01"/>
    <w:basedOn w:val="DefaultParagraphFont"/>
    <w:rsid w:val="00AA01AB"/>
    <w:rPr>
      <w:rFonts w:ascii="Segoe UI" w:hAnsi="Segoe UI" w:cs="Segoe UI" w:hint="default"/>
      <w:sz w:val="18"/>
      <w:szCs w:val="18"/>
    </w:rPr>
  </w:style>
  <w:style w:type="character" w:customStyle="1" w:styleId="ui-provider">
    <w:name w:val="ui-provider"/>
    <w:basedOn w:val="DefaultParagraphFont"/>
    <w:rsid w:val="00F82EF6"/>
  </w:style>
  <w:style w:type="character" w:styleId="CommentReference">
    <w:name w:val="annotation reference"/>
    <w:basedOn w:val="DefaultParagraphFont"/>
    <w:uiPriority w:val="99"/>
    <w:semiHidden/>
    <w:unhideWhenUsed/>
    <w:rsid w:val="00D53514"/>
    <w:rPr>
      <w:sz w:val="16"/>
      <w:szCs w:val="16"/>
    </w:rPr>
  </w:style>
  <w:style w:type="paragraph" w:styleId="CommentText">
    <w:name w:val="annotation text"/>
    <w:basedOn w:val="Normal"/>
    <w:link w:val="CommentTextChar"/>
    <w:uiPriority w:val="99"/>
    <w:unhideWhenUsed/>
    <w:rsid w:val="00D53514"/>
    <w:pPr>
      <w:spacing w:line="240" w:lineRule="auto"/>
    </w:pPr>
    <w:rPr>
      <w:sz w:val="20"/>
    </w:rPr>
  </w:style>
  <w:style w:type="character" w:customStyle="1" w:styleId="CommentTextChar">
    <w:name w:val="Comment Text Char"/>
    <w:basedOn w:val="DefaultParagraphFont"/>
    <w:link w:val="CommentText"/>
    <w:uiPriority w:val="99"/>
    <w:rsid w:val="00D53514"/>
    <w:rPr>
      <w:rFonts w:ascii="Myriad Pro Light" w:eastAsia="Times New Roman" w:hAnsi="Myriad Pro Light" w:cs="Myriad Pro Light"/>
      <w:sz w:val="20"/>
      <w:szCs w:val="20"/>
      <w:lang w:eastAsia="pt-BR"/>
    </w:rPr>
  </w:style>
  <w:style w:type="paragraph" w:styleId="CommentSubject">
    <w:name w:val="annotation subject"/>
    <w:basedOn w:val="CommentText"/>
    <w:next w:val="CommentText"/>
    <w:link w:val="CommentSubjectChar"/>
    <w:uiPriority w:val="99"/>
    <w:semiHidden/>
    <w:unhideWhenUsed/>
    <w:rsid w:val="00D53514"/>
    <w:rPr>
      <w:b/>
      <w:bCs/>
    </w:rPr>
  </w:style>
  <w:style w:type="character" w:customStyle="1" w:styleId="CommentSubjectChar">
    <w:name w:val="Comment Subject Char"/>
    <w:basedOn w:val="CommentTextChar"/>
    <w:link w:val="CommentSubject"/>
    <w:uiPriority w:val="99"/>
    <w:semiHidden/>
    <w:rsid w:val="00D53514"/>
    <w:rPr>
      <w:rFonts w:ascii="Myriad Pro Light" w:eastAsia="Times New Roman" w:hAnsi="Myriad Pro Light" w:cs="Myriad Pro Light"/>
      <w:b/>
      <w:bCs/>
      <w:sz w:val="20"/>
      <w:szCs w:val="20"/>
      <w:lang w:eastAsia="pt-BR"/>
    </w:rPr>
  </w:style>
  <w:style w:type="paragraph" w:styleId="NormalWeb">
    <w:name w:val="Normal (Web)"/>
    <w:basedOn w:val="Normal"/>
    <w:uiPriority w:val="99"/>
    <w:unhideWhenUsed/>
    <w:rsid w:val="00913A5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584">
      <w:bodyDiv w:val="1"/>
      <w:marLeft w:val="0"/>
      <w:marRight w:val="0"/>
      <w:marTop w:val="0"/>
      <w:marBottom w:val="0"/>
      <w:divBdr>
        <w:top w:val="none" w:sz="0" w:space="0" w:color="auto"/>
        <w:left w:val="none" w:sz="0" w:space="0" w:color="auto"/>
        <w:bottom w:val="none" w:sz="0" w:space="0" w:color="auto"/>
        <w:right w:val="none" w:sz="0" w:space="0" w:color="auto"/>
      </w:divBdr>
    </w:div>
    <w:div w:id="121775423">
      <w:bodyDiv w:val="1"/>
      <w:marLeft w:val="0"/>
      <w:marRight w:val="0"/>
      <w:marTop w:val="0"/>
      <w:marBottom w:val="0"/>
      <w:divBdr>
        <w:top w:val="none" w:sz="0" w:space="0" w:color="auto"/>
        <w:left w:val="none" w:sz="0" w:space="0" w:color="auto"/>
        <w:bottom w:val="none" w:sz="0" w:space="0" w:color="auto"/>
        <w:right w:val="none" w:sz="0" w:space="0" w:color="auto"/>
      </w:divBdr>
    </w:div>
    <w:div w:id="217323068">
      <w:bodyDiv w:val="1"/>
      <w:marLeft w:val="0"/>
      <w:marRight w:val="0"/>
      <w:marTop w:val="0"/>
      <w:marBottom w:val="0"/>
      <w:divBdr>
        <w:top w:val="none" w:sz="0" w:space="0" w:color="auto"/>
        <w:left w:val="none" w:sz="0" w:space="0" w:color="auto"/>
        <w:bottom w:val="none" w:sz="0" w:space="0" w:color="auto"/>
        <w:right w:val="none" w:sz="0" w:space="0" w:color="auto"/>
      </w:divBdr>
    </w:div>
    <w:div w:id="270166833">
      <w:bodyDiv w:val="1"/>
      <w:marLeft w:val="0"/>
      <w:marRight w:val="0"/>
      <w:marTop w:val="0"/>
      <w:marBottom w:val="0"/>
      <w:divBdr>
        <w:top w:val="none" w:sz="0" w:space="0" w:color="auto"/>
        <w:left w:val="none" w:sz="0" w:space="0" w:color="auto"/>
        <w:bottom w:val="none" w:sz="0" w:space="0" w:color="auto"/>
        <w:right w:val="none" w:sz="0" w:space="0" w:color="auto"/>
      </w:divBdr>
    </w:div>
    <w:div w:id="477265000">
      <w:bodyDiv w:val="1"/>
      <w:marLeft w:val="0"/>
      <w:marRight w:val="0"/>
      <w:marTop w:val="0"/>
      <w:marBottom w:val="0"/>
      <w:divBdr>
        <w:top w:val="none" w:sz="0" w:space="0" w:color="auto"/>
        <w:left w:val="none" w:sz="0" w:space="0" w:color="auto"/>
        <w:bottom w:val="none" w:sz="0" w:space="0" w:color="auto"/>
        <w:right w:val="none" w:sz="0" w:space="0" w:color="auto"/>
      </w:divBdr>
    </w:div>
    <w:div w:id="481626326">
      <w:bodyDiv w:val="1"/>
      <w:marLeft w:val="0"/>
      <w:marRight w:val="0"/>
      <w:marTop w:val="0"/>
      <w:marBottom w:val="0"/>
      <w:divBdr>
        <w:top w:val="none" w:sz="0" w:space="0" w:color="auto"/>
        <w:left w:val="none" w:sz="0" w:space="0" w:color="auto"/>
        <w:bottom w:val="none" w:sz="0" w:space="0" w:color="auto"/>
        <w:right w:val="none" w:sz="0" w:space="0" w:color="auto"/>
      </w:divBdr>
    </w:div>
    <w:div w:id="977417714">
      <w:bodyDiv w:val="1"/>
      <w:marLeft w:val="0"/>
      <w:marRight w:val="0"/>
      <w:marTop w:val="0"/>
      <w:marBottom w:val="0"/>
      <w:divBdr>
        <w:top w:val="none" w:sz="0" w:space="0" w:color="auto"/>
        <w:left w:val="none" w:sz="0" w:space="0" w:color="auto"/>
        <w:bottom w:val="none" w:sz="0" w:space="0" w:color="auto"/>
        <w:right w:val="none" w:sz="0" w:space="0" w:color="auto"/>
      </w:divBdr>
    </w:div>
    <w:div w:id="1311328660">
      <w:bodyDiv w:val="1"/>
      <w:marLeft w:val="0"/>
      <w:marRight w:val="0"/>
      <w:marTop w:val="0"/>
      <w:marBottom w:val="0"/>
      <w:divBdr>
        <w:top w:val="none" w:sz="0" w:space="0" w:color="auto"/>
        <w:left w:val="none" w:sz="0" w:space="0" w:color="auto"/>
        <w:bottom w:val="none" w:sz="0" w:space="0" w:color="auto"/>
        <w:right w:val="none" w:sz="0" w:space="0" w:color="auto"/>
      </w:divBdr>
    </w:div>
    <w:div w:id="1357536281">
      <w:bodyDiv w:val="1"/>
      <w:marLeft w:val="0"/>
      <w:marRight w:val="0"/>
      <w:marTop w:val="0"/>
      <w:marBottom w:val="0"/>
      <w:divBdr>
        <w:top w:val="none" w:sz="0" w:space="0" w:color="auto"/>
        <w:left w:val="none" w:sz="0" w:space="0" w:color="auto"/>
        <w:bottom w:val="none" w:sz="0" w:space="0" w:color="auto"/>
        <w:right w:val="none" w:sz="0" w:space="0" w:color="auto"/>
      </w:divBdr>
    </w:div>
    <w:div w:id="1564365124">
      <w:bodyDiv w:val="1"/>
      <w:marLeft w:val="0"/>
      <w:marRight w:val="0"/>
      <w:marTop w:val="0"/>
      <w:marBottom w:val="0"/>
      <w:divBdr>
        <w:top w:val="none" w:sz="0" w:space="0" w:color="auto"/>
        <w:left w:val="none" w:sz="0" w:space="0" w:color="auto"/>
        <w:bottom w:val="none" w:sz="0" w:space="0" w:color="auto"/>
        <w:right w:val="none" w:sz="0" w:space="0" w:color="auto"/>
      </w:divBdr>
    </w:div>
    <w:div w:id="1599555145">
      <w:bodyDiv w:val="1"/>
      <w:marLeft w:val="0"/>
      <w:marRight w:val="0"/>
      <w:marTop w:val="0"/>
      <w:marBottom w:val="0"/>
      <w:divBdr>
        <w:top w:val="none" w:sz="0" w:space="0" w:color="auto"/>
        <w:left w:val="none" w:sz="0" w:space="0" w:color="auto"/>
        <w:bottom w:val="none" w:sz="0" w:space="0" w:color="auto"/>
        <w:right w:val="none" w:sz="0" w:space="0" w:color="auto"/>
      </w:divBdr>
    </w:div>
    <w:div w:id="196773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Cores Lefosse - 2021">
      <a:dk1>
        <a:srgbClr val="FFFFFF"/>
      </a:dk1>
      <a:lt1>
        <a:srgbClr val="262827"/>
      </a:lt1>
      <a:dk2>
        <a:srgbClr val="C0C3C1"/>
      </a:dk2>
      <a:lt2>
        <a:srgbClr val="9A9A9A"/>
      </a:lt2>
      <a:accent1>
        <a:srgbClr val="858585"/>
      </a:accent1>
      <a:accent2>
        <a:srgbClr val="AB80FF"/>
      </a:accent2>
      <a:accent3>
        <a:srgbClr val="7800E5"/>
      </a:accent3>
      <a:accent4>
        <a:srgbClr val="270D66"/>
      </a:accent4>
      <a:accent5>
        <a:srgbClr val="D82558"/>
      </a:accent5>
      <a:accent6>
        <a:srgbClr val="910042"/>
      </a:accent6>
      <a:hlink>
        <a:srgbClr val="2DC6EA"/>
      </a:hlink>
      <a:folHlink>
        <a:srgbClr val="15498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894</Words>
  <Characters>4830</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Lefosse Advogados</dc:creator>
  <cp:keywords/>
  <dc:description/>
  <cp:lastModifiedBy>Lefosse Advogados</cp:lastModifiedBy>
  <cp:revision>3</cp:revision>
  <cp:lastPrinted>2023-12-04T20:14:00Z</cp:lastPrinted>
  <dcterms:created xsi:type="dcterms:W3CDTF">2024-05-29T21:33:00Z</dcterms:created>
  <dcterms:modified xsi:type="dcterms:W3CDTF">2024-05-29T22:39:00Z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Cod">
    <vt:lpwstr>Lefosse - 6767769v1</vt:lpwstr>
  </property>
</Properties>
</file>